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Axon Enterprise, Inc. (AXON)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Axon Enterprise, Inc.</w:t>
            </w:r>
          </w:p>
        </w:tc>
      </w:tr>
      <w:tr>
        <w:tc>
          <w:tcPr>
            <w:tcW w:type="dxa" w:w="4320"/>
          </w:tcPr>
          <w:p>
            <w:r>
              <w:rPr>
                <w:rFonts w:ascii="Calibri" w:hAnsi="Calibri"/>
                <w:b/>
                <w:sz w:val="22"/>
              </w:rPr>
              <w:t>Ticker</w:t>
            </w:r>
          </w:p>
        </w:tc>
        <w:tc>
          <w:tcPr>
            <w:tcW w:type="dxa" w:w="4320"/>
          </w:tcPr>
          <w:p>
            <w:r>
              <w:rPr>
                <w:rFonts w:ascii="Calibri" w:hAnsi="Calibri"/>
                <w:sz w:val="22"/>
              </w:rPr>
              <w:t>AXON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 / Time</w:t>
            </w:r>
          </w:p>
        </w:tc>
        <w:tc>
          <w:tcPr>
            <w:tcW w:type="dxa" w:w="4320"/>
          </w:tcPr>
          <w:p>
            <w:r>
              <w:rPr>
                <w:rFonts w:ascii="Calibri" w:hAnsi="Calibri"/>
                <w:sz w:val="22"/>
              </w:rPr>
              <w:t>August 5, 2026, after market close; call at 5:00 p.m.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Last Earnings</w:t>
            </w:r>
          </w:p>
        </w:tc>
        <w:tc>
          <w:tcPr>
            <w:tcW w:type="dxa" w:w="4320"/>
          </w:tcPr>
          <w:p>
            <w:r>
              <w:rPr>
                <w:rFonts w:ascii="Calibri" w:hAnsi="Calibri"/>
                <w:sz w:val="22"/>
              </w:rPr>
              <w:t>May 6,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Consensus is a manageable bar heading into Q2 — revenue estimates have been revised modestly higher since the Q1 print, and the biggest swing factor is whether </w:t>
      </w:r>
      <w:r>
        <w:rPr>
          <w:rFonts w:ascii="Calibri" w:hAnsi="Calibri"/>
          <w:b/>
          <w:color w:val="525866"/>
          <w:sz w:val="22"/>
        </w:rPr>
        <w:t>counter-drone (Dedrone) bookings momentum and AI Era Plan attach rates</w:t>
      </w:r>
      <w:r>
        <w:rPr>
          <w:rFonts w:ascii="Calibri" w:hAnsi="Calibri"/>
          <w:color w:val="525866"/>
          <w:sz w:val="22"/>
        </w:rPr>
        <w:t xml:space="preserve"> can sustain the extraordinary pace set in Q1 2026.</w:t>
      </w:r>
    </w:p>
    <w:p>
      <w:r>
        <w:rPr>
          <w:rFonts w:ascii="Calibri" w:hAnsi="Calibri"/>
          <w:color w:val="525866"/>
          <w:sz w:val="22"/>
        </w:rPr>
        <w:t xml:space="preserve">Axon enters Q2 2026 with the wind firmly at its back: the company raised full-year 2026 revenue guidance to 30–32% growth after Q1, and consensus has tracked that raise, sitting at roughly $876 million for the quarter — a ~9% step-up from Q1's $807 million actual. Management's tone on the Q1 call was unambiguously bullish, describing Q1 as the "strongest ever first quarter across revenue, bookings and new products," and flagging that Dedrone bookings were up 500% year-over-year while AI Era Plan bookings rose 140% — both well ahead of internal targets. Estimate revisions have been modestly positive since the print, with the FY 2026 consensus revenue estimate essentially flat to slightly up, suggesting the street has absorbed the guidance raise without over-shooting. The stock has rallied sharply from its post-Q1 close of ~$386 to ~$576 as of August 3, implying the market has already priced in a solid beat; at ~62x NTM P/E, the multiple leaves little room for a miss on either revenue or ARR. The key wildcard is the </w:t>
      </w:r>
    </w:p>
    <w:p>
      <w:r>
        <w:rPr>
          <w:rFonts w:ascii="Calibri" w:hAnsi="Calibri"/>
          <w:b/>
          <w:color w:val="525866"/>
          <w:sz w:val="22"/>
        </w:rPr>
        <w:t>ICE contract catalyst</w:t>
      </w:r>
      <w:r>
        <w:rPr>
          <w:rFonts w:ascii="Calibri" w:hAnsi="Calibri"/>
          <w:color w:val="525866"/>
          <w:sz w:val="22"/>
        </w:rPr>
        <w:t>: President Trump's disclosed purchase of up to $5 million of AXON stock was followed two weeks later by ICE announcing a 5-year, $220 million contract solicitation to more than quadruple its TASER inventory — a potential incremental federal revenue driver that is not yet in consensus estimates and could be a meaningful positive surprise if awarded before or during the call.</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revenue at ~$876M implies ~31% YoY growth, consistent with the raised guidance range. </w:t>
      </w:r>
    </w:p>
    <w:p>
      <w:r>
        <w:rPr>
          <w:rFonts w:ascii="Calibri" w:hAnsi="Calibri"/>
          <w:b/>
          <w:color w:val="525866"/>
          <w:sz w:val="22"/>
        </w:rPr>
        <w:t>ARR</w:t>
      </w:r>
      <w:r>
        <w:rPr>
          <w:rFonts w:ascii="Calibri" w:hAnsi="Calibri"/>
          <w:color w:val="525866"/>
          <w:sz w:val="22"/>
        </w:rPr>
        <w:t xml:space="preserve"> is the bigger swing factor: at $1.59B consensus vs. $1.49B last quarter, the implied sequential step-up of ~$100M would be the largest in company history and is the metric most likely to drive the stock on print day.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($M)</w:t>
            </w:r>
          </w:p>
        </w:tc>
        <w:tc>
          <w:tcPr>
            <w:tcW w:type="dxa" w:w="1234"/>
          </w:tcPr>
          <w:p>
            <w:r>
              <w:rPr>
                <w:rFonts w:ascii="Calibri" w:hAnsi="Calibri"/>
                <w:sz w:val="22"/>
              </w:rPr>
              <w:t>$807.3</w:t>
            </w:r>
          </w:p>
        </w:tc>
        <w:tc>
          <w:tcPr>
            <w:tcW w:type="dxa" w:w="1234"/>
          </w:tcPr>
          <w:p>
            <w:r>
              <w:rPr>
                <w:rFonts w:ascii="Calibri" w:hAnsi="Calibri"/>
                <w:sz w:val="22"/>
              </w:rPr>
              <w:t>$668.5</w:t>
            </w:r>
          </w:p>
        </w:tc>
        <w:tc>
          <w:tcPr>
            <w:tcW w:type="dxa" w:w="1234"/>
          </w:tcPr>
          <w:p>
            <w:r>
              <w:rPr>
                <w:rFonts w:ascii="Calibri" w:hAnsi="Calibri"/>
                <w:sz w:val="22"/>
              </w:rPr>
              <w:t>$875.9</w:t>
            </w:r>
          </w:p>
        </w:tc>
        <w:tc>
          <w:tcPr>
            <w:tcW w:type="dxa" w:w="1234"/>
          </w:tcPr>
          <w:p>
            <w:r>
              <w:rPr>
                <w:rFonts w:ascii="Calibri" w:hAnsi="Calibri"/>
                <w:sz w:val="22"/>
              </w:rPr>
              <w:t>+31.0%</w:t>
            </w:r>
          </w:p>
        </w:tc>
        <w:tc>
          <w:tcPr>
            <w:tcW w:type="dxa" w:w="1234"/>
          </w:tcPr>
          <w:p>
            <w:r>
              <w:rPr>
                <w:rFonts w:ascii="Calibri" w:hAnsi="Calibri"/>
                <w:sz w:val="22"/>
              </w:rPr>
              <w:t>30–32% YoY growth (FY)</w:t>
            </w:r>
          </w:p>
        </w:tc>
        <w:tc>
          <w:tcPr>
            <w:tcW w:type="dxa" w:w="1234"/>
          </w:tcPr>
          <w:p>
            <w:r>
              <w:rPr>
                <w:rFonts w:ascii="Calibri" w:hAnsi="Calibri"/>
                <w:sz w:val="22"/>
              </w:rPr>
              <w:t>~In line with midpoint</w:t>
            </w:r>
          </w:p>
        </w:tc>
      </w:tr>
      <w:tr>
        <w:tc>
          <w:tcPr>
            <w:tcW w:type="dxa" w:w="1234"/>
          </w:tcPr>
          <w:p>
            <w:r>
              <w:rPr>
                <w:rFonts w:ascii="Calibri" w:hAnsi="Calibri"/>
                <w:sz w:val="22"/>
              </w:rPr>
              <w:t>Adj. EPS (Diluted, Operating)</w:t>
            </w:r>
          </w:p>
        </w:tc>
        <w:tc>
          <w:tcPr>
            <w:tcW w:type="dxa" w:w="1234"/>
          </w:tcPr>
          <w:p>
            <w:r>
              <w:rPr>
                <w:rFonts w:ascii="Calibri" w:hAnsi="Calibri"/>
                <w:sz w:val="22"/>
              </w:rPr>
              <w:t>$1.61</w:t>
            </w:r>
          </w:p>
        </w:tc>
        <w:tc>
          <w:tcPr>
            <w:tcW w:type="dxa" w:w="1234"/>
          </w:tcPr>
          <w:p>
            <w:r>
              <w:rPr>
                <w:rFonts w:ascii="Calibri" w:hAnsi="Calibri"/>
                <w:sz w:val="22"/>
              </w:rPr>
              <w:t>$2.12</w:t>
            </w:r>
          </w:p>
        </w:tc>
        <w:tc>
          <w:tcPr>
            <w:tcW w:type="dxa" w:w="1234"/>
          </w:tcPr>
          <w:p>
            <w:r>
              <w:rPr>
                <w:rFonts w:ascii="Calibri" w:hAnsi="Calibri"/>
                <w:sz w:val="22"/>
              </w:rPr>
              <w:t>$1.78</w:t>
            </w:r>
          </w:p>
        </w:tc>
        <w:tc>
          <w:tcPr>
            <w:tcW w:type="dxa" w:w="1234"/>
          </w:tcPr>
          <w:p>
            <w:r>
              <w:rPr>
                <w:rFonts w:ascii="Calibri" w:hAnsi="Calibri"/>
                <w:sz w:val="22"/>
              </w:rPr>
              <w:t>-16.0% (seasonal)</w:t>
            </w:r>
          </w:p>
        </w:tc>
        <w:tc>
          <w:tcPr>
            <w:tcW w:type="dxa" w:w="1234"/>
          </w:tcPr>
          <w:p>
            <w:r>
              <w:rPr>
                <w:rFonts w:ascii="Calibri" w:hAnsi="Calibri"/>
                <w:sz w:val="22"/>
              </w:rPr>
              <w:t>N/A (quarterly)</w:t>
            </w:r>
          </w:p>
        </w:tc>
        <w:tc>
          <w:tcPr>
            <w:tcW w:type="dxa" w:w="1234"/>
          </w:tcPr>
          <w:p>
            <w:r>
              <w:rPr>
                <w:rFonts w:ascii="Calibri" w:hAnsi="Calibri"/>
                <w:sz w:val="22"/>
              </w:rPr>
              <w:t>N/A</w:t>
            </w:r>
          </w:p>
        </w:tc>
      </w:tr>
      <w:tr>
        <w:tc>
          <w:tcPr>
            <w:tcW w:type="dxa" w:w="1234"/>
          </w:tcPr>
          <w:p>
            <w:r>
              <w:rPr>
                <w:rFonts w:ascii="Calibri" w:hAnsi="Calibri"/>
                <w:sz w:val="22"/>
              </w:rPr>
              <w:t>ARR ($B)</w:t>
            </w:r>
          </w:p>
        </w:tc>
        <w:tc>
          <w:tcPr>
            <w:tcW w:type="dxa" w:w="1234"/>
          </w:tcPr>
          <w:p>
            <w:r>
              <w:rPr>
                <w:rFonts w:ascii="Calibri" w:hAnsi="Calibri"/>
                <w:sz w:val="22"/>
              </w:rPr>
              <w:t>$1.493</w:t>
            </w:r>
          </w:p>
        </w:tc>
        <w:tc>
          <w:tcPr>
            <w:tcW w:type="dxa" w:w="1234"/>
          </w:tcPr>
          <w:p>
            <w:r>
              <w:rPr>
                <w:rFonts w:ascii="Calibri" w:hAnsi="Calibri"/>
                <w:sz w:val="22"/>
              </w:rPr>
              <w:t>$1.183</w:t>
            </w:r>
          </w:p>
        </w:tc>
        <w:tc>
          <w:tcPr>
            <w:tcW w:type="dxa" w:w="1234"/>
          </w:tcPr>
          <w:p>
            <w:r>
              <w:rPr>
                <w:rFonts w:ascii="Calibri" w:hAnsi="Calibri"/>
                <w:sz w:val="22"/>
              </w:rPr>
              <w:t>$1.589</w:t>
            </w:r>
          </w:p>
        </w:tc>
        <w:tc>
          <w:tcPr>
            <w:tcW w:type="dxa" w:w="1234"/>
          </w:tcPr>
          <w:p>
            <w:r>
              <w:rPr>
                <w:rFonts w:ascii="Calibri" w:hAnsi="Calibri"/>
                <w:sz w:val="22"/>
              </w:rPr>
              <w:t>+34.3%</w:t>
            </w:r>
          </w:p>
        </w:tc>
        <w:tc>
          <w:tcPr>
            <w:tcW w:type="dxa" w:w="1234"/>
          </w:tcPr>
          <w:p>
            <w:r>
              <w:rPr>
                <w:rFonts w:ascii="Calibri" w:hAnsi="Calibri"/>
                <w:sz w:val="22"/>
              </w:rPr>
              <w:t>~$1.80B (FY 2026 consensus)</w:t>
            </w:r>
          </w:p>
        </w:tc>
        <w:tc>
          <w:tcPr>
            <w:tcW w:type="dxa" w:w="1234"/>
          </w:tcPr>
          <w:p>
            <w:r>
              <w:rPr>
                <w:rFonts w:ascii="Calibri" w:hAnsi="Calibri"/>
                <w:sz w:val="22"/>
              </w:rPr>
              <w:t>On track</w:t>
            </w:r>
          </w:p>
        </w:tc>
      </w:tr>
      <w:tr>
        <w:tc>
          <w:tcPr>
            <w:tcW w:type="dxa" w:w="1234"/>
          </w:tcPr>
          <w:p>
            <w:r>
              <w:rPr>
                <w:rFonts w:ascii="Calibri" w:hAnsi="Calibri"/>
                <w:sz w:val="22"/>
              </w:rPr>
              <w:t>Software &amp; Services Revenue ($M)</w:t>
            </w:r>
          </w:p>
        </w:tc>
        <w:tc>
          <w:tcPr>
            <w:tcW w:type="dxa" w:w="1234"/>
          </w:tcPr>
          <w:p>
            <w:r>
              <w:rPr>
                <w:rFonts w:ascii="Calibri" w:hAnsi="Calibri"/>
                <w:sz w:val="22"/>
              </w:rPr>
              <w:t>$354.5</w:t>
            </w:r>
          </w:p>
        </w:tc>
        <w:tc>
          <w:tcPr>
            <w:tcW w:type="dxa" w:w="1234"/>
          </w:tcPr>
          <w:p>
            <w:r>
              <w:rPr>
                <w:rFonts w:ascii="Calibri" w:hAnsi="Calibri"/>
                <w:sz w:val="22"/>
              </w:rPr>
              <w:t>$292.2</w:t>
            </w:r>
          </w:p>
        </w:tc>
        <w:tc>
          <w:tcPr>
            <w:tcW w:type="dxa" w:w="1234"/>
          </w:tcPr>
          <w:p>
            <w:r>
              <w:rPr>
                <w:rFonts w:ascii="Calibri" w:hAnsi="Calibri"/>
                <w:sz w:val="22"/>
              </w:rPr>
              <w:t>$394.6</w:t>
            </w:r>
          </w:p>
        </w:tc>
        <w:tc>
          <w:tcPr>
            <w:tcW w:type="dxa" w:w="1234"/>
          </w:tcPr>
          <w:p>
            <w:r>
              <w:rPr>
                <w:rFonts w:ascii="Calibri" w:hAnsi="Calibri"/>
                <w:sz w:val="22"/>
              </w:rPr>
              <w:t>+35.1%</w:t>
            </w:r>
          </w:p>
        </w:tc>
        <w:tc>
          <w:tcPr>
            <w:tcW w:type="dxa" w:w="1234"/>
          </w:tcPr>
          <w:p>
            <w:r>
              <w:rPr>
                <w:rFonts w:ascii="Calibri" w:hAnsi="Calibri"/>
                <w:sz w:val="22"/>
              </w:rPr>
              <w:t>N/A (quarterly)</w:t>
            </w:r>
          </w:p>
        </w:tc>
        <w:tc>
          <w:tcPr>
            <w:tcW w:type="dxa" w:w="1234"/>
          </w:tcPr>
          <w:p>
            <w:r>
              <w:rPr>
                <w:rFonts w:ascii="Calibri" w:hAnsi="Calibri"/>
                <w:sz w:val="22"/>
              </w:rPr>
              <w:t>N/A</w:t>
            </w:r>
          </w:p>
        </w:tc>
      </w:tr>
      <w:tr>
        <w:tc>
          <w:tcPr>
            <w:tcW w:type="dxa" w:w="1234"/>
          </w:tcPr>
          <w:p>
            <w:r>
              <w:rPr>
                <w:rFonts w:ascii="Calibri" w:hAnsi="Calibri"/>
                <w:sz w:val="22"/>
              </w:rPr>
              <w:t>Adj. EBITDA ($M)</w:t>
            </w:r>
          </w:p>
        </w:tc>
        <w:tc>
          <w:tcPr>
            <w:tcW w:type="dxa" w:w="1234"/>
          </w:tcPr>
          <w:p>
            <w:r>
              <w:rPr>
                <w:rFonts w:ascii="Calibri" w:hAnsi="Calibri"/>
                <w:sz w:val="22"/>
              </w:rPr>
              <w:t>$201.6</w:t>
            </w:r>
          </w:p>
        </w:tc>
        <w:tc>
          <w:tcPr>
            <w:tcW w:type="dxa" w:w="1234"/>
          </w:tcPr>
          <w:p>
            <w:r>
              <w:rPr>
                <w:rFonts w:ascii="Calibri" w:hAnsi="Calibri"/>
                <w:sz w:val="22"/>
              </w:rPr>
              <w:t>$171.6</w:t>
            </w:r>
          </w:p>
        </w:tc>
        <w:tc>
          <w:tcPr>
            <w:tcW w:type="dxa" w:w="1234"/>
          </w:tcPr>
          <w:p>
            <w:r>
              <w:rPr>
                <w:rFonts w:ascii="Calibri" w:hAnsi="Calibri"/>
                <w:sz w:val="22"/>
              </w:rPr>
              <w:t>$221.0</w:t>
            </w:r>
          </w:p>
        </w:tc>
        <w:tc>
          <w:tcPr>
            <w:tcW w:type="dxa" w:w="1234"/>
          </w:tcPr>
          <w:p>
            <w:r>
              <w:rPr>
                <w:rFonts w:ascii="Calibri" w:hAnsi="Calibri"/>
                <w:sz w:val="22"/>
              </w:rPr>
              <w:t>+28.8%</w:t>
            </w:r>
          </w:p>
        </w:tc>
        <w:tc>
          <w:tcPr>
            <w:tcW w:type="dxa" w:w="1234"/>
          </w:tcPr>
          <w:p>
            <w:r>
              <w:rPr>
                <w:rFonts w:ascii="Calibri" w:hAnsi="Calibri"/>
                <w:sz w:val="22"/>
              </w:rPr>
              <w:t>25.5% margin (FY)</w:t>
            </w:r>
          </w:p>
        </w:tc>
        <w:tc>
          <w:tcPr>
            <w:tcW w:type="dxa" w:w="1234"/>
          </w:tcPr>
          <w:p>
            <w:r>
              <w:rPr>
                <w:rFonts w:ascii="Calibri" w:hAnsi="Calibri"/>
                <w:sz w:val="22"/>
              </w:rPr>
              <w:t>~25.2% implied margin</w:t>
            </w:r>
          </w:p>
        </w:tc>
      </w:tr>
      <w:tr>
        <w:tc>
          <w:tcPr>
            <w:tcW w:type="dxa" w:w="1234"/>
          </w:tcPr>
          <w:p>
            <w:r>
              <w:rPr>
                <w:rFonts w:ascii="Calibri" w:hAnsi="Calibri"/>
                <w:sz w:val="22"/>
              </w:rPr>
              <w:t>FCF ($M)</w:t>
            </w:r>
          </w:p>
        </w:tc>
        <w:tc>
          <w:tcPr>
            <w:tcW w:type="dxa" w:w="1234"/>
          </w:tcPr>
          <w:p>
            <w:r>
              <w:rPr>
                <w:rFonts w:ascii="Calibri" w:hAnsi="Calibri"/>
                <w:sz w:val="22"/>
              </w:rPr>
              <w:t>-$54.1</w:t>
            </w:r>
          </w:p>
        </w:tc>
        <w:tc>
          <w:tcPr>
            <w:tcW w:type="dxa" w:w="1234"/>
          </w:tcPr>
          <w:p>
            <w:r>
              <w:rPr>
                <w:rFonts w:ascii="Calibri" w:hAnsi="Calibri"/>
                <w:sz w:val="22"/>
              </w:rPr>
              <w:t>-$110.7</w:t>
            </w:r>
          </w:p>
        </w:tc>
        <w:tc>
          <w:tcPr>
            <w:tcW w:type="dxa" w:w="1234"/>
          </w:tcPr>
          <w:p>
            <w:r>
              <w:rPr>
                <w:rFonts w:ascii="Calibri" w:hAnsi="Calibri"/>
                <w:sz w:val="22"/>
              </w:rPr>
              <w:t>$127.9</w:t>
            </w:r>
          </w:p>
        </w:tc>
        <w:tc>
          <w:tcPr>
            <w:tcW w:type="dxa" w:w="1234"/>
          </w:tcPr>
          <w:p>
            <w:r>
              <w:rPr>
                <w:rFonts w:ascii="Calibri" w:hAnsi="Calibri"/>
                <w:sz w:val="22"/>
              </w:rPr>
              <w:t>N/M (seasonal)</w:t>
            </w:r>
          </w:p>
        </w:tc>
        <w:tc>
          <w:tcPr>
            <w:tcW w:type="dxa" w:w="1234"/>
          </w:tcPr>
          <w:p>
            <w:r>
              <w:rPr>
                <w:rFonts w:ascii="Calibri" w:hAnsi="Calibri"/>
                <w:sz w:val="22"/>
              </w:rPr>
              <w:t>~$450M (FY 2026)</w:t>
            </w:r>
          </w:p>
        </w:tc>
        <w:tc>
          <w:tcPr>
            <w:tcW w:type="dxa" w:w="1234"/>
          </w:tcPr>
          <w:p>
            <w:r>
              <w:rPr>
                <w:rFonts w:ascii="Calibri" w:hAnsi="Calibri"/>
                <w:sz w:val="22"/>
              </w:rPr>
              <w:t>On track</w:t>
            </w:r>
          </w:p>
        </w:tc>
      </w:tr>
      <w:tr>
        <w:tc>
          <w:tcPr>
            <w:tcW w:type="dxa" w:w="1234"/>
          </w:tcPr>
          <w:p>
            <w:r>
              <w:rPr>
                <w:rFonts w:ascii="Calibri" w:hAnsi="Calibri"/>
                <w:sz w:val="22"/>
              </w:rPr>
              <w:t>Future Contracted Bookings ($B)</w:t>
            </w:r>
          </w:p>
        </w:tc>
        <w:tc>
          <w:tcPr>
            <w:tcW w:type="dxa" w:w="1234"/>
          </w:tcPr>
          <w:p>
            <w:r>
              <w:rPr>
                <w:rFonts w:ascii="Calibri" w:hAnsi="Calibri"/>
                <w:sz w:val="22"/>
              </w:rPr>
              <w:t>$14.3</w:t>
            </w:r>
          </w:p>
        </w:tc>
        <w:tc>
          <w:tcPr>
            <w:tcW w:type="dxa" w:w="1234"/>
          </w:tcPr>
          <w:p>
            <w:r>
              <w:rPr>
                <w:rFonts w:ascii="Calibri" w:hAnsi="Calibri"/>
                <w:sz w:val="22"/>
              </w:rPr>
              <w:t>$10.7</w:t>
            </w:r>
          </w:p>
        </w:tc>
        <w:tc>
          <w:tcPr>
            <w:tcW w:type="dxa" w:w="1234"/>
          </w:tcPr>
          <w:p>
            <w:r>
              <w:rPr>
                <w:rFonts w:ascii="Calibri" w:hAnsi="Calibri"/>
                <w:sz w:val="22"/>
              </w:rPr>
              <w:t>$14.4</w:t>
            </w:r>
          </w:p>
        </w:tc>
        <w:tc>
          <w:tcPr>
            <w:tcW w:type="dxa" w:w="1234"/>
          </w:tcPr>
          <w:p>
            <w:r>
              <w:rPr>
                <w:rFonts w:ascii="Calibri" w:hAnsi="Calibri"/>
                <w:sz w:val="22"/>
              </w:rPr>
              <w:t>+34.6%</w:t>
            </w:r>
          </w:p>
        </w:tc>
        <w:tc>
          <w:tcPr>
            <w:tcW w:type="dxa" w:w="1234"/>
          </w:tcPr>
          <w:p>
            <w:r>
              <w:rPr>
                <w:rFonts w:ascii="Calibri" w:hAnsi="Calibri"/>
                <w:sz w:val="22"/>
              </w:rPr>
              <w:t>N/A (quarterly)</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August 4, 2026. Q2 2025 and Q1 2026 figures are reported actuals. YoY change computed on Q2 2026 consensus vs. Q2 2025 actual. FCF Q2 2025 actual was -$110.7M (seasonal inventory build); Q2 2026 consensus of $127.9M reflects expected normalization. Adj. EPS YoY decline reflects Q2 2025 being a seasonally strong quarter ($2.12 actual) vs. Q2 2026 consensus of $1.78 — note Q2 2025 was an outsized beat quarter.</w:t>
      </w:r>
    </w:p>
    <w:p>
      <w:pPr>
        <w:pStyle w:val="Heading3"/>
      </w:pPr>
      <w:r>
        <w:rPr>
          <w:rFonts w:ascii="Calibri" w:hAnsi="Calibri"/>
          <w:b/>
          <w:color w:val="3B4259"/>
          <w:sz w:val="24"/>
        </w:rPr>
        <w:t>Table 2 — Beat / Miss History: Last 8 Quarters (Top 2 KPIs: Revenue &amp; ARR)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($M)</w:t>
            </w:r>
          </w:p>
        </w:tc>
        <w:tc>
          <w:tcPr>
            <w:tcW w:type="dxa" w:w="1440"/>
          </w:tcPr>
          <w:p>
            <w:r>
              <w:rPr>
                <w:rFonts w:ascii="Calibri" w:hAnsi="Calibri"/>
                <w:sz w:val="22"/>
              </w:rPr>
              <w:t>$807.3</w:t>
            </w:r>
          </w:p>
        </w:tc>
        <w:tc>
          <w:tcPr>
            <w:tcW w:type="dxa" w:w="1440"/>
          </w:tcPr>
          <w:p>
            <w:r>
              <w:rPr>
                <w:rFonts w:ascii="Calibri" w:hAnsi="Calibri"/>
                <w:sz w:val="22"/>
              </w:rPr>
              <w:t>$778.6</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ARR ($B)</w:t>
            </w:r>
          </w:p>
        </w:tc>
        <w:tc>
          <w:tcPr>
            <w:tcW w:type="dxa" w:w="1440"/>
          </w:tcPr>
          <w:p>
            <w:r>
              <w:rPr>
                <w:rFonts w:ascii="Calibri" w:hAnsi="Calibri"/>
                <w:sz w:val="22"/>
              </w:rPr>
              <w:t>$1.493</w:t>
            </w:r>
          </w:p>
        </w:tc>
        <w:tc>
          <w:tcPr>
            <w:tcW w:type="dxa" w:w="1440"/>
          </w:tcPr>
          <w:p>
            <w:r>
              <w:rPr>
                <w:rFonts w:ascii="Calibri" w:hAnsi="Calibri"/>
                <w:sz w:val="22"/>
              </w:rPr>
              <w:t>$1.437</w:t>
            </w:r>
          </w:p>
        </w:tc>
        <w:tc>
          <w:tcPr>
            <w:tcW w:type="dxa" w:w="1440"/>
          </w:tcPr>
          <w:p>
            <w:r>
              <w:rPr>
                <w:rFonts w:ascii="Calibri" w:hAnsi="Calibri"/>
                <w:b/>
                <w:color w:val="30A46C"/>
                <w:sz w:val="22"/>
              </w:rPr>
              <w:t>+3.9%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 ($M)</w:t>
            </w:r>
          </w:p>
        </w:tc>
        <w:tc>
          <w:tcPr>
            <w:tcW w:type="dxa" w:w="1440"/>
          </w:tcPr>
          <w:p>
            <w:r>
              <w:rPr>
                <w:rFonts w:ascii="Calibri" w:hAnsi="Calibri"/>
                <w:sz w:val="22"/>
              </w:rPr>
              <w:t>$796.7</w:t>
            </w:r>
          </w:p>
        </w:tc>
        <w:tc>
          <w:tcPr>
            <w:tcW w:type="dxa" w:w="1440"/>
          </w:tcPr>
          <w:p>
            <w:r>
              <w:rPr>
                <w:rFonts w:ascii="Calibri" w:hAnsi="Calibri"/>
                <w:sz w:val="22"/>
              </w:rPr>
              <w:t>$756.2</w:t>
            </w:r>
          </w:p>
        </w:tc>
        <w:tc>
          <w:tcPr>
            <w:tcW w:type="dxa" w:w="1440"/>
          </w:tcPr>
          <w:p>
            <w:r>
              <w:rPr>
                <w:rFonts w:ascii="Calibri" w:hAnsi="Calibri"/>
                <w:b/>
                <w:color w:val="30A46C"/>
                <w:sz w:val="22"/>
              </w:rPr>
              <w:t>+5.4%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ARR ($B)</w:t>
            </w:r>
          </w:p>
        </w:tc>
        <w:tc>
          <w:tcPr>
            <w:tcW w:type="dxa" w:w="1440"/>
          </w:tcPr>
          <w:p>
            <w:r>
              <w:rPr>
                <w:rFonts w:ascii="Calibri" w:hAnsi="Calibri"/>
                <w:sz w:val="22"/>
              </w:rPr>
              <w:t>$1.347</w:t>
            </w:r>
          </w:p>
        </w:tc>
        <w:tc>
          <w:tcPr>
            <w:tcW w:type="dxa" w:w="1440"/>
          </w:tcPr>
          <w:p>
            <w:r>
              <w:rPr>
                <w:rFonts w:ascii="Calibri" w:hAnsi="Calibri"/>
                <w:sz w:val="22"/>
              </w:rPr>
              <w:t>$1.338</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 ($M)</w:t>
            </w:r>
          </w:p>
        </w:tc>
        <w:tc>
          <w:tcPr>
            <w:tcW w:type="dxa" w:w="1440"/>
          </w:tcPr>
          <w:p>
            <w:r>
              <w:rPr>
                <w:rFonts w:ascii="Calibri" w:hAnsi="Calibri"/>
                <w:sz w:val="22"/>
              </w:rPr>
              <w:t>$710.6</w:t>
            </w:r>
          </w:p>
        </w:tc>
        <w:tc>
          <w:tcPr>
            <w:tcW w:type="dxa" w:w="1440"/>
          </w:tcPr>
          <w:p>
            <w:r>
              <w:rPr>
                <w:rFonts w:ascii="Calibri" w:hAnsi="Calibri"/>
                <w:sz w:val="22"/>
              </w:rPr>
              <w:t>$705.2</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ARR ($B)</w:t>
            </w:r>
          </w:p>
        </w:tc>
        <w:tc>
          <w:tcPr>
            <w:tcW w:type="dxa" w:w="1440"/>
          </w:tcPr>
          <w:p>
            <w:r>
              <w:rPr>
                <w:rFonts w:ascii="Calibri" w:hAnsi="Calibri"/>
                <w:sz w:val="22"/>
              </w:rPr>
              <w:t>$1.252</w:t>
            </w:r>
          </w:p>
        </w:tc>
        <w:tc>
          <w:tcPr>
            <w:tcW w:type="dxa" w:w="1440"/>
          </w:tcPr>
          <w:p>
            <w:r>
              <w:rPr>
                <w:rFonts w:ascii="Calibri" w:hAnsi="Calibri"/>
                <w:sz w:val="22"/>
              </w:rPr>
              <w:t>$1.224</w:t>
            </w:r>
          </w:p>
        </w:tc>
        <w:tc>
          <w:tcPr>
            <w:tcW w:type="dxa" w:w="1440"/>
          </w:tcPr>
          <w:p>
            <w:r>
              <w:rPr>
                <w:rFonts w:ascii="Calibri" w:hAnsi="Calibri"/>
                <w:b/>
                <w:color w:val="30A46C"/>
                <w:sz w:val="22"/>
              </w:rPr>
              <w:t>+2.3%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 ($M)</w:t>
            </w:r>
          </w:p>
        </w:tc>
        <w:tc>
          <w:tcPr>
            <w:tcW w:type="dxa" w:w="1440"/>
          </w:tcPr>
          <w:p>
            <w:r>
              <w:rPr>
                <w:rFonts w:ascii="Calibri" w:hAnsi="Calibri"/>
                <w:sz w:val="22"/>
              </w:rPr>
              <w:t>$668.5</w:t>
            </w:r>
          </w:p>
        </w:tc>
        <w:tc>
          <w:tcPr>
            <w:tcW w:type="dxa" w:w="1440"/>
          </w:tcPr>
          <w:p>
            <w:r>
              <w:rPr>
                <w:rFonts w:ascii="Calibri" w:hAnsi="Calibri"/>
                <w:sz w:val="22"/>
              </w:rPr>
              <w:t>$641.0</w:t>
            </w:r>
          </w:p>
        </w:tc>
        <w:tc>
          <w:tcPr>
            <w:tcW w:type="dxa" w:w="1440"/>
          </w:tcPr>
          <w:p>
            <w:r>
              <w:rPr>
                <w:rFonts w:ascii="Calibri" w:hAnsi="Calibri"/>
                <w:b/>
                <w:color w:val="30A46C"/>
                <w:sz w:val="22"/>
              </w:rPr>
              <w:t>+4.3%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ARR ($B)</w:t>
            </w:r>
          </w:p>
        </w:tc>
        <w:tc>
          <w:tcPr>
            <w:tcW w:type="dxa" w:w="1440"/>
          </w:tcPr>
          <w:p>
            <w:r>
              <w:rPr>
                <w:rFonts w:ascii="Calibri" w:hAnsi="Calibri"/>
                <w:sz w:val="22"/>
              </w:rPr>
              <w:t>$1.183</w:t>
            </w:r>
          </w:p>
        </w:tc>
        <w:tc>
          <w:tcPr>
            <w:tcW w:type="dxa" w:w="1440"/>
          </w:tcPr>
          <w:p>
            <w:r>
              <w:rPr>
                <w:rFonts w:ascii="Calibri" w:hAnsi="Calibri"/>
                <w:sz w:val="22"/>
              </w:rPr>
              <w:t>$1.140</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 ($M)</w:t>
            </w:r>
          </w:p>
        </w:tc>
        <w:tc>
          <w:tcPr>
            <w:tcW w:type="dxa" w:w="1440"/>
          </w:tcPr>
          <w:p>
            <w:r>
              <w:rPr>
                <w:rFonts w:ascii="Calibri" w:hAnsi="Calibri"/>
                <w:sz w:val="22"/>
              </w:rPr>
              <w:t>$603.6</w:t>
            </w:r>
          </w:p>
        </w:tc>
        <w:tc>
          <w:tcPr>
            <w:tcW w:type="dxa" w:w="1440"/>
          </w:tcPr>
          <w:p>
            <w:r>
              <w:rPr>
                <w:rFonts w:ascii="Calibri" w:hAnsi="Calibri"/>
                <w:sz w:val="22"/>
              </w:rPr>
              <w:t>$587.0</w:t>
            </w:r>
          </w:p>
        </w:tc>
        <w:tc>
          <w:tcPr>
            <w:tcW w:type="dxa" w:w="1440"/>
          </w:tcPr>
          <w:p>
            <w:r>
              <w:rPr>
                <w:rFonts w:ascii="Calibri" w:hAnsi="Calibri"/>
                <w:b/>
                <w:color w:val="30A46C"/>
                <w:sz w:val="22"/>
              </w:rPr>
              <w:t>+2.8%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ARR ($B)</w:t>
            </w:r>
          </w:p>
        </w:tc>
        <w:tc>
          <w:tcPr>
            <w:tcW w:type="dxa" w:w="1440"/>
          </w:tcPr>
          <w:p>
            <w:r>
              <w:rPr>
                <w:rFonts w:ascii="Calibri" w:hAnsi="Calibri"/>
                <w:sz w:val="22"/>
              </w:rPr>
              <w:t>$1.104</w:t>
            </w:r>
          </w:p>
        </w:tc>
        <w:tc>
          <w:tcPr>
            <w:tcW w:type="dxa" w:w="1440"/>
          </w:tcPr>
          <w:p>
            <w:r>
              <w:rPr>
                <w:rFonts w:ascii="Calibri" w:hAnsi="Calibri"/>
                <w:sz w:val="22"/>
              </w:rPr>
              <w:t>$1.041</w:t>
            </w:r>
          </w:p>
        </w:tc>
        <w:tc>
          <w:tcPr>
            <w:tcW w:type="dxa" w:w="1440"/>
          </w:tcPr>
          <w:p>
            <w:r>
              <w:rPr>
                <w:rFonts w:ascii="Calibri" w:hAnsi="Calibri"/>
                <w:b/>
                <w:color w:val="30A46C"/>
                <w:sz w:val="22"/>
              </w:rPr>
              <w:t>+6.1%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 ($M)</w:t>
            </w:r>
          </w:p>
        </w:tc>
        <w:tc>
          <w:tcPr>
            <w:tcW w:type="dxa" w:w="1440"/>
          </w:tcPr>
          <w:p>
            <w:r>
              <w:rPr>
                <w:rFonts w:ascii="Calibri" w:hAnsi="Calibri"/>
                <w:sz w:val="22"/>
              </w:rPr>
              <w:t>$575.1</w:t>
            </w:r>
          </w:p>
        </w:tc>
        <w:tc>
          <w:tcPr>
            <w:tcW w:type="dxa" w:w="1440"/>
          </w:tcPr>
          <w:p>
            <w:r>
              <w:rPr>
                <w:rFonts w:ascii="Calibri" w:hAnsi="Calibri"/>
                <w:sz w:val="22"/>
              </w:rPr>
              <w:t>$566.7</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ARR ($B)</w:t>
            </w:r>
          </w:p>
        </w:tc>
        <w:tc>
          <w:tcPr>
            <w:tcW w:type="dxa" w:w="1440"/>
          </w:tcPr>
          <w:p>
            <w:r>
              <w:rPr>
                <w:rFonts w:ascii="Calibri" w:hAnsi="Calibri"/>
                <w:sz w:val="22"/>
              </w:rPr>
              <w:t>$1.001</w:t>
            </w:r>
          </w:p>
        </w:tc>
        <w:tc>
          <w:tcPr>
            <w:tcW w:type="dxa" w:w="1440"/>
          </w:tcPr>
          <w:p>
            <w:r>
              <w:rPr>
                <w:rFonts w:ascii="Calibri" w:hAnsi="Calibri"/>
                <w:sz w:val="22"/>
              </w:rPr>
              <w:t>$0.944</w:t>
            </w:r>
          </w:p>
        </w:tc>
        <w:tc>
          <w:tcPr>
            <w:tcW w:type="dxa" w:w="1440"/>
          </w:tcPr>
          <w:p>
            <w:r>
              <w:rPr>
                <w:rFonts w:ascii="Calibri" w:hAnsi="Calibri"/>
                <w:b/>
                <w:color w:val="30A46C"/>
                <w:sz w:val="22"/>
              </w:rPr>
              <w:t>+6.1%</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 ($M)</w:t>
            </w:r>
          </w:p>
        </w:tc>
        <w:tc>
          <w:tcPr>
            <w:tcW w:type="dxa" w:w="1440"/>
          </w:tcPr>
          <w:p>
            <w:r>
              <w:rPr>
                <w:rFonts w:ascii="Calibri" w:hAnsi="Calibri"/>
                <w:sz w:val="22"/>
              </w:rPr>
              <w:t>$544.3</w:t>
            </w:r>
          </w:p>
        </w:tc>
        <w:tc>
          <w:tcPr>
            <w:tcW w:type="dxa" w:w="1440"/>
          </w:tcPr>
          <w:p>
            <w:r>
              <w:rPr>
                <w:rFonts w:ascii="Calibri" w:hAnsi="Calibri"/>
                <w:sz w:val="22"/>
              </w:rPr>
              <w:t>$525.2</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ARR ($B)</w:t>
            </w:r>
          </w:p>
        </w:tc>
        <w:tc>
          <w:tcPr>
            <w:tcW w:type="dxa" w:w="1440"/>
          </w:tcPr>
          <w:p>
            <w:r>
              <w:rPr>
                <w:rFonts w:ascii="Calibri" w:hAnsi="Calibri"/>
                <w:sz w:val="22"/>
              </w:rPr>
              <w:t>$0.885</w:t>
            </w:r>
          </w:p>
        </w:tc>
        <w:tc>
          <w:tcPr>
            <w:tcW w:type="dxa" w:w="1440"/>
          </w:tcPr>
          <w:p>
            <w:r>
              <w:rPr>
                <w:rFonts w:ascii="Calibri" w:hAnsi="Calibri"/>
                <w:sz w:val="22"/>
              </w:rPr>
              <w:t>$0.897</w:t>
            </w:r>
          </w:p>
        </w:tc>
        <w:tc>
          <w:tcPr>
            <w:tcW w:type="dxa" w:w="1440"/>
          </w:tcPr>
          <w:p>
            <w:r>
              <w:rPr>
                <w:rFonts w:ascii="Calibri" w:hAnsi="Calibri"/>
                <w:b/>
                <w:color w:val="E5484D"/>
                <w:sz w:val="22"/>
              </w:rPr>
              <w:t>-1.3%</w:t>
            </w:r>
          </w:p>
        </w:tc>
        <w:tc>
          <w:tcPr>
            <w:tcW w:type="dxa" w:w="1440"/>
          </w:tcPr>
          <w:p>
            <w:r>
              <w:rPr>
                <w:rFonts w:ascii="Calibri" w:hAnsi="Calibri"/>
                <w:sz w:val="22"/>
              </w:rPr>
              <w:t>Miss</w:t>
            </w:r>
          </w:p>
        </w:tc>
      </w:tr>
    </w:tbl>
    <w:p>
      <w:r>
        <w:rPr>
          <w:rFonts w:ascii="Calibri" w:hAnsi="Calibri"/>
          <w:i/>
          <w:color w:val="525866"/>
          <w:sz w:val="22"/>
        </w:rPr>
        <w:t xml:space="preserve">Source: Visible Alpha Consensus and Actuals Data. </w:t>
      </w:r>
      <w:r>
        <w:rPr>
          <w:rFonts w:ascii="Calibri" w:hAnsi="Calibri"/>
          <w:i/>
          <w:color w:val="525866"/>
          <w:sz w:val="22"/>
        </w:rPr>
        <w:t>Pattern: AXON has beaten revenue consensus in 8 of the last 8 quarters and ARR consensus in 7 of the last 8 quarters, with an average revenue beat of ~3% — the bar is consistently set below what management delivers, suggesting the street remains structurally conservative on Axon's growth trajectory.</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w:t>
      </w:r>
    </w:p>
    <w:p>
      <w:r>
        <w:rPr>
          <w:rFonts w:ascii="Calibri" w:hAnsi="Calibri"/>
          <w:b/>
          <w:color w:val="525866"/>
          <w:sz w:val="22"/>
        </w:rPr>
        <w:t>raised at Q1 2026 earnings</w:t>
      </w:r>
      <w:r>
        <w:rPr>
          <w:rFonts w:ascii="Calibri" w:hAnsi="Calibri"/>
          <w:color w:val="525866"/>
          <w:sz w:val="22"/>
        </w:rPr>
        <w:t xml:space="preserve"> (May 6) and has not been revised since; no post-earnings 8-K or conference update has changed the numbers. Management tone remains unambiguously bullish, with the Q1 call describing the strongest-ever first quarter and flagging Dedrone and AI Era Plan as scaling well beyond internal expectations.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May 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 Growth</w:t>
            </w:r>
          </w:p>
        </w:tc>
        <w:tc>
          <w:tcPr>
            <w:tcW w:type="dxa" w:w="1728"/>
          </w:tcPr>
          <w:p>
            <w:r>
              <w:rPr>
                <w:rFonts w:ascii="Calibri" w:hAnsi="Calibri"/>
                <w:sz w:val="22"/>
              </w:rPr>
              <w:t>30–32% YoY (raised from 27–30%)</w:t>
            </w:r>
          </w:p>
        </w:tc>
        <w:tc>
          <w:tcPr>
            <w:tcW w:type="dxa" w:w="1728"/>
          </w:tcPr>
          <w:p>
            <w:r>
              <w:rPr>
                <w:rFonts w:ascii="Calibri" w:hAnsi="Calibri"/>
                <w:sz w:val="22"/>
              </w:rPr>
              <w:t>—</w:t>
            </w:r>
          </w:p>
        </w:tc>
        <w:tc>
          <w:tcPr>
            <w:tcW w:type="dxa" w:w="1728"/>
          </w:tcPr>
          <w:p>
            <w:r>
              <w:rPr>
                <w:rFonts w:ascii="Calibri" w:hAnsi="Calibri"/>
                <w:sz w:val="22"/>
              </w:rPr>
              <w:t>~$3.67B (+31% YoY)</w:t>
            </w:r>
          </w:p>
        </w:tc>
        <w:tc>
          <w:tcPr>
            <w:tcW w:type="dxa" w:w="1728"/>
          </w:tcPr>
          <w:p>
            <w:r>
              <w:rPr>
                <w:rFonts w:ascii="Calibri" w:hAnsi="Calibri"/>
                <w:sz w:val="22"/>
              </w:rPr>
              <w:t>↑ Raised at Q1 2026 earnings; consensus tracking midpoint of range</w:t>
            </w:r>
          </w:p>
        </w:tc>
      </w:tr>
      <w:tr>
        <w:tc>
          <w:tcPr>
            <w:tcW w:type="dxa" w:w="1728"/>
          </w:tcPr>
          <w:p>
            <w:r>
              <w:rPr>
                <w:rFonts w:ascii="Calibri" w:hAnsi="Calibri"/>
                <w:sz w:val="22"/>
              </w:rPr>
              <w:t>FY 2026 Adj. EBITDA Margin</w:t>
            </w:r>
          </w:p>
        </w:tc>
        <w:tc>
          <w:tcPr>
            <w:tcW w:type="dxa" w:w="1728"/>
          </w:tcPr>
          <w:p>
            <w:r>
              <w:rPr>
                <w:rFonts w:ascii="Calibri" w:hAnsi="Calibri"/>
                <w:sz w:val="22"/>
              </w:rPr>
              <w:t>25.5%</w:t>
            </w:r>
          </w:p>
        </w:tc>
        <w:tc>
          <w:tcPr>
            <w:tcW w:type="dxa" w:w="1728"/>
          </w:tcPr>
          <w:p>
            <w:r>
              <w:rPr>
                <w:rFonts w:ascii="Calibri" w:hAnsi="Calibri"/>
                <w:sz w:val="22"/>
              </w:rPr>
              <w:t>—</w:t>
            </w:r>
          </w:p>
        </w:tc>
        <w:tc>
          <w:tcPr>
            <w:tcW w:type="dxa" w:w="1728"/>
          </w:tcPr>
          <w:p>
            <w:r>
              <w:rPr>
                <w:rFonts w:ascii="Calibri" w:hAnsi="Calibri"/>
                <w:sz w:val="22"/>
              </w:rPr>
              <w:t>~25.6% (consensus)</w:t>
            </w:r>
          </w:p>
        </w:tc>
        <w:tc>
          <w:tcPr>
            <w:tcW w:type="dxa" w:w="1728"/>
          </w:tcPr>
          <w:p>
            <w:r>
              <w:rPr>
                <w:rFonts w:ascii="Calibri" w:hAnsi="Calibri"/>
                <w:sz w:val="22"/>
              </w:rPr>
              <w:t>Unchanged; incorporates tariff and memory cost headwinds</w:t>
            </w:r>
          </w:p>
        </w:tc>
      </w:tr>
      <w:tr>
        <w:tc>
          <w:tcPr>
            <w:tcW w:type="dxa" w:w="1728"/>
          </w:tcPr>
          <w:p>
            <w:r>
              <w:rPr>
                <w:rFonts w:ascii="Calibri" w:hAnsi="Calibri"/>
                <w:sz w:val="22"/>
              </w:rPr>
              <w:t>FY 2026 Free Cash Flow</w:t>
            </w:r>
          </w:p>
        </w:tc>
        <w:tc>
          <w:tcPr>
            <w:tcW w:type="dxa" w:w="1728"/>
          </w:tcPr>
          <w:p>
            <w:r>
              <w:rPr>
                <w:rFonts w:ascii="Calibri" w:hAnsi="Calibri"/>
                <w:sz w:val="22"/>
              </w:rPr>
              <w:t>~$450M (new disclosure at Q1)</w:t>
            </w:r>
          </w:p>
        </w:tc>
        <w:tc>
          <w:tcPr>
            <w:tcW w:type="dxa" w:w="1728"/>
          </w:tcPr>
          <w:p>
            <w:r>
              <w:rPr>
                <w:rFonts w:ascii="Calibri" w:hAnsi="Calibri"/>
                <w:sz w:val="22"/>
              </w:rPr>
              <w:t>—</w:t>
            </w:r>
          </w:p>
        </w:tc>
        <w:tc>
          <w:tcPr>
            <w:tcW w:type="dxa" w:w="1728"/>
          </w:tcPr>
          <w:p>
            <w:r>
              <w:rPr>
                <w:rFonts w:ascii="Calibri" w:hAnsi="Calibri"/>
                <w:sz w:val="22"/>
              </w:rPr>
              <w:t>~$419M (consensus)</w:t>
            </w:r>
          </w:p>
        </w:tc>
        <w:tc>
          <w:tcPr>
            <w:tcW w:type="dxa" w:w="1728"/>
          </w:tcPr>
          <w:p>
            <w:r>
              <w:rPr>
                <w:rFonts w:ascii="Calibri" w:hAnsi="Calibri"/>
                <w:sz w:val="22"/>
              </w:rPr>
              <w:t>New metric introduced Q1 2026; consensus slightly below guidance</w:t>
            </w:r>
          </w:p>
        </w:tc>
      </w:tr>
      <w:tr>
        <w:tc>
          <w:tcPr>
            <w:tcW w:type="dxa" w:w="1728"/>
          </w:tcPr>
          <w:p>
            <w:r>
              <w:rPr>
                <w:rFonts w:ascii="Calibri" w:hAnsi="Calibri"/>
                <w:sz w:val="22"/>
              </w:rPr>
              <w:t>FY 2026 Operating Cash Flow</w:t>
            </w:r>
          </w:p>
        </w:tc>
        <w:tc>
          <w:tcPr>
            <w:tcW w:type="dxa" w:w="1728"/>
          </w:tcPr>
          <w:p>
            <w:r>
              <w:rPr>
                <w:rFonts w:ascii="Calibri" w:hAnsi="Calibri"/>
                <w:sz w:val="22"/>
              </w:rPr>
              <w:t>&gt;$600M</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w:t>
            </w:r>
          </w:p>
        </w:tc>
      </w:tr>
      <w:tr>
        <w:tc>
          <w:tcPr>
            <w:tcW w:type="dxa" w:w="1728"/>
          </w:tcPr>
          <w:p>
            <w:r>
              <w:rPr>
                <w:rFonts w:ascii="Calibri" w:hAnsi="Calibri"/>
                <w:sz w:val="22"/>
              </w:rPr>
              <w:t>FY 2026 CapEx</w:t>
            </w:r>
          </w:p>
        </w:tc>
        <w:tc>
          <w:tcPr>
            <w:tcW w:type="dxa" w:w="1728"/>
          </w:tcPr>
          <w:p>
            <w:r>
              <w:rPr>
                <w:rFonts w:ascii="Calibri" w:hAnsi="Calibri"/>
                <w:sz w:val="22"/>
              </w:rPr>
              <w:t>$160–$190M</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 includes R&amp;D, capacity expansion, global facilities</w:t>
            </w:r>
          </w:p>
        </w:tc>
      </w:tr>
      <w:tr>
        <w:tc>
          <w:tcPr>
            <w:tcW w:type="dxa" w:w="1728"/>
          </w:tcPr>
          <w:p>
            <w:r>
              <w:rPr>
                <w:rFonts w:ascii="Calibri" w:hAnsi="Calibri"/>
                <w:sz w:val="22"/>
              </w:rPr>
              <w:t>FY 2026 Stock-Based Comp</w:t>
            </w:r>
          </w:p>
        </w:tc>
        <w:tc>
          <w:tcPr>
            <w:tcW w:type="dxa" w:w="1728"/>
          </w:tcPr>
          <w:p>
            <w:r>
              <w:rPr>
                <w:rFonts w:ascii="Calibri" w:hAnsi="Calibri"/>
                <w:sz w:val="22"/>
              </w:rPr>
              <w:t>$590–$620M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includes ~$230M for XSP and CEO Performance Award</w:t>
            </w:r>
          </w:p>
        </w:tc>
      </w:tr>
    </w:tbl>
    <w:p>
      <w:r>
        <w:rPr>
          <w:rFonts w:ascii="Calibri" w:hAnsi="Calibri"/>
          <w:i/>
          <w:color w:val="525866"/>
          <w:sz w:val="22"/>
        </w:rPr>
        <w:t>Source: Q1 2026 Earnings Call transcript and press release (May 6, 2026); Visible Alpha Consensus and Actuals Data for current consensus figures.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tracked guidance closely since the Q1 print — the FY 2026 revenue consensus is essentially flat to the post-Q1 baseline, suggesting the street absorbed the guidance raise without over-shooting. The </w:t>
      </w:r>
    </w:p>
    <w:p>
      <w:r>
        <w:rPr>
          <w:rFonts w:ascii="Calibri" w:hAnsi="Calibri"/>
          <w:b/>
          <w:color w:val="525866"/>
          <w:sz w:val="22"/>
        </w:rPr>
        <w:t>slight consensus shortfall vs. FCF guidance ($419M vs. $450M)</w:t>
      </w:r>
      <w:r>
        <w:rPr>
          <w:rFonts w:ascii="Calibri" w:hAnsi="Calibri"/>
          <w:color w:val="525866"/>
          <w:sz w:val="22"/>
        </w:rPr>
        <w:t xml:space="preserve"> is the one area of divergence and could be a positive surprise if Axon delivers on its stated target.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(as of ~May 13,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$875.8M</w:t>
            </w:r>
          </w:p>
        </w:tc>
        <w:tc>
          <w:tcPr>
            <w:tcW w:type="dxa" w:w="1080"/>
          </w:tcPr>
          <w:p>
            <w:r>
              <w:rPr>
                <w:rFonts w:ascii="Calibri" w:hAnsi="Calibri"/>
                <w:sz w:val="22"/>
              </w:rPr>
              <w:t>$875.9M</w:t>
            </w:r>
          </w:p>
        </w:tc>
        <w:tc>
          <w:tcPr>
            <w:tcW w:type="dxa" w:w="1080"/>
          </w:tcPr>
          <w:p>
            <w:r>
              <w:rPr>
                <w:rFonts w:ascii="Calibri" w:hAnsi="Calibri"/>
                <w:sz w:val="22"/>
              </w:rPr>
              <w:t>~0%</w:t>
            </w:r>
          </w:p>
        </w:tc>
        <w:tc>
          <w:tcPr>
            <w:tcW w:type="dxa" w:w="1080"/>
          </w:tcPr>
          <w:p>
            <w:r>
              <w:rPr>
                <w:rFonts w:ascii="Calibri" w:hAnsi="Calibri"/>
                <w:sz w:val="22"/>
              </w:rPr>
              <w:t>N/A (quarterly)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$3,677M</w:t>
            </w:r>
          </w:p>
        </w:tc>
        <w:tc>
          <w:tcPr>
            <w:tcW w:type="dxa" w:w="1080"/>
          </w:tcPr>
          <w:p>
            <w:r>
              <w:rPr>
                <w:rFonts w:ascii="Calibri" w:hAnsi="Calibri"/>
                <w:sz w:val="22"/>
              </w:rPr>
              <w:t>$3,674M</w:t>
            </w:r>
          </w:p>
        </w:tc>
        <w:tc>
          <w:tcPr>
            <w:tcW w:type="dxa" w:w="1080"/>
          </w:tcPr>
          <w:p>
            <w:r>
              <w:rPr>
                <w:rFonts w:ascii="Calibri" w:hAnsi="Calibri"/>
                <w:sz w:val="22"/>
              </w:rPr>
              <w:t>-0.1%</w:t>
            </w:r>
          </w:p>
        </w:tc>
        <w:tc>
          <w:tcPr>
            <w:tcW w:type="dxa" w:w="1080"/>
          </w:tcPr>
          <w:p>
            <w:r>
              <w:rPr>
                <w:rFonts w:ascii="Calibri" w:hAnsi="Calibri"/>
                <w:sz w:val="22"/>
              </w:rPr>
              <w:t>30–32% growth (~$3,614–$3,668M)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r>
        <w:tc>
          <w:tcPr>
            <w:tcW w:type="dxa" w:w="1080"/>
          </w:tcPr>
          <w:p>
            <w:r>
              <w:rPr>
                <w:rFonts w:ascii="Calibri" w:hAnsi="Calibri"/>
                <w:sz w:val="22"/>
              </w:rPr>
              <w:t>Adj. EPS — Q2 2026</w:t>
            </w:r>
          </w:p>
        </w:tc>
        <w:tc>
          <w:tcPr>
            <w:tcW w:type="dxa" w:w="1080"/>
          </w:tcPr>
          <w:p>
            <w:r>
              <w:rPr>
                <w:rFonts w:ascii="Calibri" w:hAnsi="Calibri"/>
                <w:sz w:val="22"/>
              </w:rPr>
              <w:t>$1.79</w:t>
            </w:r>
          </w:p>
        </w:tc>
        <w:tc>
          <w:tcPr>
            <w:tcW w:type="dxa" w:w="1080"/>
          </w:tcPr>
          <w:p>
            <w:r>
              <w:rPr>
                <w:rFonts w:ascii="Calibri" w:hAnsi="Calibri"/>
                <w:sz w:val="22"/>
              </w:rPr>
              <w:t>$1.78</w:t>
            </w:r>
          </w:p>
        </w:tc>
        <w:tc>
          <w:tcPr>
            <w:tcW w:type="dxa" w:w="1080"/>
          </w:tcPr>
          <w:p>
            <w:r>
              <w:rPr>
                <w:rFonts w:ascii="Calibri" w:hAnsi="Calibri"/>
                <w:sz w:val="22"/>
              </w:rPr>
              <w:t>-0.6%</w:t>
            </w:r>
          </w:p>
        </w:tc>
        <w:tc>
          <w:tcPr>
            <w:tcW w:type="dxa" w:w="1080"/>
          </w:tcPr>
          <w:p>
            <w:r>
              <w:rPr>
                <w:rFonts w:ascii="Calibri" w:hAnsi="Calibri"/>
                <w:sz w:val="22"/>
              </w:rPr>
              <w:t>N/A (quarterly)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$7.66</w:t>
            </w:r>
          </w:p>
        </w:tc>
        <w:tc>
          <w:tcPr>
            <w:tcW w:type="dxa" w:w="1080"/>
          </w:tcPr>
          <w:p>
            <w:r>
              <w:rPr>
                <w:rFonts w:ascii="Calibri" w:hAnsi="Calibri"/>
                <w:sz w:val="22"/>
              </w:rPr>
              <w:t>$7.63</w:t>
            </w:r>
          </w:p>
        </w:tc>
        <w:tc>
          <w:tcPr>
            <w:tcW w:type="dxa" w:w="1080"/>
          </w:tcPr>
          <w:p>
            <w:r>
              <w:rPr>
                <w:rFonts w:ascii="Calibri" w:hAnsi="Calibri"/>
                <w:sz w:val="22"/>
              </w:rPr>
              <w:t>-0.4%</w:t>
            </w:r>
          </w:p>
        </w:tc>
        <w:tc>
          <w:tcPr>
            <w:tcW w:type="dxa" w:w="1080"/>
          </w:tcPr>
          <w:p>
            <w:r>
              <w:rPr>
                <w:rFonts w:ascii="Calibri" w:hAnsi="Calibri"/>
                <w:sz w:val="22"/>
              </w:rPr>
              <w:t>N/A (FY)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ARR — Q2 2026</w:t>
            </w:r>
          </w:p>
        </w:tc>
        <w:tc>
          <w:tcPr>
            <w:tcW w:type="dxa" w:w="1080"/>
          </w:tcPr>
          <w:p>
            <w:r>
              <w:rPr>
                <w:rFonts w:ascii="Calibri" w:hAnsi="Calibri"/>
                <w:sz w:val="22"/>
              </w:rPr>
              <w:t>$1,589M</w:t>
            </w:r>
          </w:p>
        </w:tc>
        <w:tc>
          <w:tcPr>
            <w:tcW w:type="dxa" w:w="1080"/>
          </w:tcPr>
          <w:p>
            <w:r>
              <w:rPr>
                <w:rFonts w:ascii="Calibri" w:hAnsi="Calibri"/>
                <w:sz w:val="22"/>
              </w:rPr>
              <w:t>$1,589M</w:t>
            </w:r>
          </w:p>
        </w:tc>
        <w:tc>
          <w:tcPr>
            <w:tcW w:type="dxa" w:w="1080"/>
          </w:tcPr>
          <w:p>
            <w:r>
              <w:rPr>
                <w:rFonts w:ascii="Calibri" w:hAnsi="Calibri"/>
                <w:sz w:val="22"/>
              </w:rPr>
              <w:t>~0%</w:t>
            </w:r>
          </w:p>
        </w:tc>
        <w:tc>
          <w:tcPr>
            <w:tcW w:type="dxa" w:w="1080"/>
          </w:tcPr>
          <w:p>
            <w:r>
              <w:rPr>
                <w:rFonts w:ascii="Calibri" w:hAnsi="Calibri"/>
                <w:sz w:val="22"/>
              </w:rPr>
              <w:t>N/A (quarterly)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ARR — FY 2026</w:t>
            </w:r>
          </w:p>
        </w:tc>
        <w:tc>
          <w:tcPr>
            <w:tcW w:type="dxa" w:w="1080"/>
          </w:tcPr>
          <w:p>
            <w:r>
              <w:rPr>
                <w:rFonts w:ascii="Calibri" w:hAnsi="Calibri"/>
                <w:sz w:val="22"/>
              </w:rPr>
              <w:t>$1,802M</w:t>
            </w:r>
          </w:p>
        </w:tc>
        <w:tc>
          <w:tcPr>
            <w:tcW w:type="dxa" w:w="1080"/>
          </w:tcPr>
          <w:p>
            <w:r>
              <w:rPr>
                <w:rFonts w:ascii="Calibri" w:hAnsi="Calibri"/>
                <w:sz w:val="22"/>
              </w:rPr>
              <w:t>$1,802M</w:t>
            </w:r>
          </w:p>
        </w:tc>
        <w:tc>
          <w:tcPr>
            <w:tcW w:type="dxa" w:w="1080"/>
          </w:tcPr>
          <w:p>
            <w:r>
              <w:rPr>
                <w:rFonts w:ascii="Calibri" w:hAnsi="Calibri"/>
                <w:sz w:val="22"/>
              </w:rPr>
              <w:t>~0%</w:t>
            </w:r>
          </w:p>
        </w:tc>
        <w:tc>
          <w:tcPr>
            <w:tcW w:type="dxa" w:w="1080"/>
          </w:tcPr>
          <w:p>
            <w:r>
              <w:rPr>
                <w:rFonts w:ascii="Calibri" w:hAnsi="Calibri"/>
                <w:sz w:val="22"/>
              </w:rPr>
              <w:t>N/A (FY)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FCF — FY 2026</w:t>
            </w:r>
          </w:p>
        </w:tc>
        <w:tc>
          <w:tcPr>
            <w:tcW w:type="dxa" w:w="1080"/>
          </w:tcPr>
          <w:p>
            <w:r>
              <w:rPr>
                <w:rFonts w:ascii="Calibri" w:hAnsi="Calibri"/>
                <w:sz w:val="22"/>
              </w:rPr>
              <w:t>$419M</w:t>
            </w:r>
          </w:p>
        </w:tc>
        <w:tc>
          <w:tcPr>
            <w:tcW w:type="dxa" w:w="1080"/>
          </w:tcPr>
          <w:p>
            <w:r>
              <w:rPr>
                <w:rFonts w:ascii="Calibri" w:hAnsi="Calibri"/>
                <w:sz w:val="22"/>
              </w:rPr>
              <w:t>$419M</w:t>
            </w:r>
          </w:p>
        </w:tc>
        <w:tc>
          <w:tcPr>
            <w:tcW w:type="dxa" w:w="1080"/>
          </w:tcPr>
          <w:p>
            <w:r>
              <w:rPr>
                <w:rFonts w:ascii="Calibri" w:hAnsi="Calibri"/>
                <w:sz w:val="22"/>
              </w:rPr>
              <w:t>~0%</w:t>
            </w:r>
          </w:p>
        </w:tc>
        <w:tc>
          <w:tcPr>
            <w:tcW w:type="dxa" w:w="1080"/>
          </w:tcPr>
          <w:p>
            <w:r>
              <w:rPr>
                <w:rFonts w:ascii="Calibri" w:hAnsi="Calibri"/>
                <w:sz w:val="22"/>
              </w:rPr>
              <w:t>~$450M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-6.9% below guidance</w:t>
            </w:r>
          </w:p>
        </w:tc>
      </w:tr>
    </w:tbl>
    <w:p>
      <w:r>
        <w:rPr>
          <w:rFonts w:ascii="Calibri" w:hAnsi="Calibri"/>
          <w:i/>
          <w:color w:val="525866"/>
          <w:sz w:val="22"/>
        </w:rPr>
        <w:t>Source: Visible Alpha Consensus and Actuals Data. Post-Q1 baseline uses consensus as of May 13, 2026 (approximately 5 trading days after the May 6 earnings release). Current consensus as of August 4, 2026.</w:t>
      </w:r>
    </w:p>
    <w:p>
      <w:r>
        <w:rPr>
          <w:rFonts w:ascii="Calibri" w:hAnsi="Calibri"/>
          <w:color w:val="525866"/>
          <w:sz w:val="22"/>
        </w:rPr>
        <w:t>The near-zero revision across all KPIs since the Q1 print is notable: it suggests the street has high conviction in the guidance range and is not building in incremental upside from Dedrone or the potential ICE contract. This creates an asymmetric setup — a beat on ARR or bookings could drive meaningful upward revisions, while a miss on FCF (the one area where consensus trails guidance) would likely be dismissed as timing-related given the full-year target.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AXON has dramatically outperformed both the industrials sector (XLI) and the S&amp;P 500 since the Q1 2026 earnings print, driven almost entirely by </w:t>
      </w:r>
    </w:p>
    <w:p>
      <w:r>
        <w:rPr>
          <w:rFonts w:ascii="Calibri" w:hAnsi="Calibri"/>
          <w:b/>
          <w:color w:val="525866"/>
          <w:sz w:val="22"/>
        </w:rPr>
        <w:t>multiple expansion</w:t>
      </w:r>
      <w:r>
        <w:rPr>
          <w:rFonts w:ascii="Calibri" w:hAnsi="Calibri"/>
          <w:color w:val="525866"/>
          <w:sz w:val="22"/>
        </w:rPr>
        <w:t xml:space="preserve"> (+34% on EV/EBITDA over 3 months) rather than estimate revisions (which were flat). The stock is up ~57% from the Q1 earnings close of $385.86 to ~$575.88 as of August 3, 2026, while XLI gained ~4% and SPY gained ~3% over the same period. At ~62x NTM P/E and ~40x NTM EV/EBITDA, the stock is pricing in continued execution at or above the current growth trajectory.</w:t>
      </w:r>
    </w:p>
    <w:p>
      <w:r>
        <w:rPr>
          <w:rFonts w:ascii="Calibri" w:hAnsi="Calibri"/>
          <w:i/>
          <w:color w:val="525866"/>
          <w:sz w:val="22"/>
        </w:rPr>
        <w:t>Sector ETF: XLI (iShares U.S. Industrials ETF) is used as the sector proxy. While Axon is classified in the Industrials sector, it trades more like a high-growth technology company; XLI is included for sector context but investors should note the limited comparability given Axon's 30%+ revenue growth vs. the broader industrials universe.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AXON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6,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28, 2026</w:t>
            </w:r>
          </w:p>
        </w:tc>
        <w:tc>
          <w:tcPr>
            <w:tcW w:type="dxa" w:w="2160"/>
          </w:tcPr>
          <w:p>
            <w:r>
              <w:rPr>
                <w:rFonts w:ascii="Calibri" w:hAnsi="Calibri"/>
                <w:sz w:val="22"/>
              </w:rPr>
              <w:t>113.8</w:t>
            </w:r>
          </w:p>
        </w:tc>
        <w:tc>
          <w:tcPr>
            <w:tcW w:type="dxa" w:w="2160"/>
          </w:tcPr>
          <w:p>
            <w:r>
              <w:rPr>
                <w:rFonts w:ascii="Calibri" w:hAnsi="Calibri"/>
                <w:sz w:val="22"/>
              </w:rPr>
              <w:t>98.3</w:t>
            </w:r>
          </w:p>
        </w:tc>
        <w:tc>
          <w:tcPr>
            <w:tcW w:type="dxa" w:w="2160"/>
          </w:tcPr>
          <w:p>
            <w:r>
              <w:rPr>
                <w:rFonts w:ascii="Calibri" w:hAnsi="Calibri"/>
                <w:sz w:val="22"/>
              </w:rPr>
              <w:t>102.8</w:t>
            </w:r>
          </w:p>
        </w:tc>
      </w:tr>
      <w:tr>
        <w:tc>
          <w:tcPr>
            <w:tcW w:type="dxa" w:w="2160"/>
          </w:tcPr>
          <w:p>
            <w:r>
              <w:rPr>
                <w:rFonts w:ascii="Calibri" w:hAnsi="Calibri"/>
                <w:sz w:val="22"/>
              </w:rPr>
              <w:t>Jun 4, 2026 (Peak ~$513)</w:t>
            </w:r>
          </w:p>
        </w:tc>
        <w:tc>
          <w:tcPr>
            <w:tcW w:type="dxa" w:w="2160"/>
          </w:tcPr>
          <w:p>
            <w:r>
              <w:rPr>
                <w:rFonts w:ascii="Calibri" w:hAnsi="Calibri"/>
                <w:sz w:val="22"/>
              </w:rPr>
              <w:t>133.0</w:t>
            </w:r>
          </w:p>
        </w:tc>
        <w:tc>
          <w:tcPr>
            <w:tcW w:type="dxa" w:w="2160"/>
          </w:tcPr>
          <w:p>
            <w:r>
              <w:rPr>
                <w:rFonts w:ascii="Calibri" w:hAnsi="Calibri"/>
                <w:sz w:val="22"/>
              </w:rPr>
              <w:t>99.6</w:t>
            </w:r>
          </w:p>
        </w:tc>
        <w:tc>
          <w:tcPr>
            <w:tcW w:type="dxa" w:w="2160"/>
          </w:tcPr>
          <w:p>
            <w:r>
              <w:rPr>
                <w:rFonts w:ascii="Calibri" w:hAnsi="Calibri"/>
                <w:sz w:val="22"/>
              </w:rPr>
              <w:t>103.2</w:t>
            </w:r>
          </w:p>
        </w:tc>
      </w:tr>
      <w:tr>
        <w:tc>
          <w:tcPr>
            <w:tcW w:type="dxa" w:w="2160"/>
          </w:tcPr>
          <w:p>
            <w:r>
              <w:rPr>
                <w:rFonts w:ascii="Calibri" w:hAnsi="Calibri"/>
                <w:sz w:val="22"/>
              </w:rPr>
              <w:t>Jun 30, 2026</w:t>
            </w:r>
          </w:p>
        </w:tc>
        <w:tc>
          <w:tcPr>
            <w:tcW w:type="dxa" w:w="2160"/>
          </w:tcPr>
          <w:p>
            <w:r>
              <w:rPr>
                <w:rFonts w:ascii="Calibri" w:hAnsi="Calibri"/>
                <w:sz w:val="22"/>
              </w:rPr>
              <w:t>145.3</w:t>
            </w:r>
          </w:p>
        </w:tc>
        <w:tc>
          <w:tcPr>
            <w:tcW w:type="dxa" w:w="2160"/>
          </w:tcPr>
          <w:p>
            <w:r>
              <w:rPr>
                <w:rFonts w:ascii="Calibri" w:hAnsi="Calibri"/>
                <w:sz w:val="22"/>
              </w:rPr>
              <w:t>104.7</w:t>
            </w:r>
          </w:p>
        </w:tc>
        <w:tc>
          <w:tcPr>
            <w:tcW w:type="dxa" w:w="2160"/>
          </w:tcPr>
          <w:p>
            <w:r>
              <w:rPr>
                <w:rFonts w:ascii="Calibri" w:hAnsi="Calibri"/>
                <w:sz w:val="22"/>
              </w:rPr>
              <w:t>101.8</w:t>
            </w:r>
          </w:p>
        </w:tc>
      </w:tr>
      <w:tr>
        <w:tc>
          <w:tcPr>
            <w:tcW w:type="dxa" w:w="2160"/>
          </w:tcPr>
          <w:p>
            <w:r>
              <w:rPr>
                <w:rFonts w:ascii="Calibri" w:hAnsi="Calibri"/>
                <w:sz w:val="22"/>
              </w:rPr>
              <w:t>Jul 7, 2026 (Peak ~$640)</w:t>
            </w:r>
          </w:p>
        </w:tc>
        <w:tc>
          <w:tcPr>
            <w:tcW w:type="dxa" w:w="2160"/>
          </w:tcPr>
          <w:p>
            <w:r>
              <w:rPr>
                <w:rFonts w:ascii="Calibri" w:hAnsi="Calibri"/>
                <w:sz w:val="22"/>
              </w:rPr>
              <w:t>166.0</w:t>
            </w:r>
          </w:p>
        </w:tc>
        <w:tc>
          <w:tcPr>
            <w:tcW w:type="dxa" w:w="2160"/>
          </w:tcPr>
          <w:p>
            <w:r>
              <w:rPr>
                <w:rFonts w:ascii="Calibri" w:hAnsi="Calibri"/>
                <w:sz w:val="22"/>
              </w:rPr>
              <w:t>103.1</w:t>
            </w:r>
          </w:p>
        </w:tc>
        <w:tc>
          <w:tcPr>
            <w:tcW w:type="dxa" w:w="2160"/>
          </w:tcPr>
          <w:p>
            <w:r>
              <w:rPr>
                <w:rFonts w:ascii="Calibri" w:hAnsi="Calibri"/>
                <w:sz w:val="22"/>
              </w:rPr>
              <w:t>101.9</w:t>
            </w:r>
          </w:p>
        </w:tc>
      </w:tr>
      <w:tr>
        <w:tc>
          <w:tcPr>
            <w:tcW w:type="dxa" w:w="2160"/>
          </w:tcPr>
          <w:p>
            <w:r>
              <w:rPr>
                <w:rFonts w:ascii="Calibri" w:hAnsi="Calibri"/>
                <w:sz w:val="22"/>
              </w:rPr>
              <w:t>Jul 10, 2026 (Board appt. 8-K)</w:t>
            </w:r>
          </w:p>
        </w:tc>
        <w:tc>
          <w:tcPr>
            <w:tcW w:type="dxa" w:w="2160"/>
          </w:tcPr>
          <w:p>
            <w:r>
              <w:rPr>
                <w:rFonts w:ascii="Calibri" w:hAnsi="Calibri"/>
                <w:sz w:val="22"/>
              </w:rPr>
              <w:t>146.6</w:t>
            </w:r>
          </w:p>
        </w:tc>
        <w:tc>
          <w:tcPr>
            <w:tcW w:type="dxa" w:w="2160"/>
          </w:tcPr>
          <w:p>
            <w:r>
              <w:rPr>
                <w:rFonts w:ascii="Calibri" w:hAnsi="Calibri"/>
                <w:sz w:val="22"/>
              </w:rPr>
              <w:t>102.9</w:t>
            </w:r>
          </w:p>
        </w:tc>
        <w:tc>
          <w:tcPr>
            <w:tcW w:type="dxa" w:w="2160"/>
          </w:tcPr>
          <w:p>
            <w:r>
              <w:rPr>
                <w:rFonts w:ascii="Calibri" w:hAnsi="Calibri"/>
                <w:sz w:val="22"/>
              </w:rPr>
              <w:t>102.9</w:t>
            </w:r>
          </w:p>
        </w:tc>
      </w:tr>
      <w:tr>
        <w:tc>
          <w:tcPr>
            <w:tcW w:type="dxa" w:w="2160"/>
          </w:tcPr>
          <w:p>
            <w:r>
              <w:rPr>
                <w:rFonts w:ascii="Calibri" w:hAnsi="Calibri"/>
                <w:sz w:val="22"/>
              </w:rPr>
              <w:t>Jul 22, 2026 (Q2 earnings date announced)</w:t>
            </w:r>
          </w:p>
        </w:tc>
        <w:tc>
          <w:tcPr>
            <w:tcW w:type="dxa" w:w="2160"/>
          </w:tcPr>
          <w:p>
            <w:r>
              <w:rPr>
                <w:rFonts w:ascii="Calibri" w:hAnsi="Calibri"/>
                <w:sz w:val="22"/>
              </w:rPr>
              <w:t>127.4</w:t>
            </w:r>
          </w:p>
        </w:tc>
        <w:tc>
          <w:tcPr>
            <w:tcW w:type="dxa" w:w="2160"/>
          </w:tcPr>
          <w:p>
            <w:r>
              <w:rPr>
                <w:rFonts w:ascii="Calibri" w:hAnsi="Calibri"/>
                <w:sz w:val="22"/>
              </w:rPr>
              <w:t>101.1</w:t>
            </w:r>
          </w:p>
        </w:tc>
        <w:tc>
          <w:tcPr>
            <w:tcW w:type="dxa" w:w="2160"/>
          </w:tcPr>
          <w:p>
            <w:r>
              <w:rPr>
                <w:rFonts w:ascii="Calibri" w:hAnsi="Calibri"/>
                <w:sz w:val="22"/>
              </w:rPr>
              <w:t>101.8</w:t>
            </w:r>
          </w:p>
        </w:tc>
      </w:tr>
      <w:tr>
        <w:tc>
          <w:tcPr>
            <w:tcW w:type="dxa" w:w="2160"/>
          </w:tcPr>
          <w:p>
            <w:r>
              <w:rPr>
                <w:rFonts w:ascii="Calibri" w:hAnsi="Calibri"/>
                <w:sz w:val="22"/>
              </w:rPr>
              <w:t>Aug 3, 2026 (Last close pre-earnings)</w:t>
            </w:r>
          </w:p>
        </w:tc>
        <w:tc>
          <w:tcPr>
            <w:tcW w:type="dxa" w:w="2160"/>
          </w:tcPr>
          <w:p>
            <w:r>
              <w:rPr>
                <w:rFonts w:ascii="Calibri" w:hAnsi="Calibri"/>
                <w:sz w:val="22"/>
              </w:rPr>
              <w:t>149.2</w:t>
            </w:r>
          </w:p>
        </w:tc>
        <w:tc>
          <w:tcPr>
            <w:tcW w:type="dxa" w:w="2160"/>
          </w:tcPr>
          <w:p>
            <w:r>
              <w:rPr>
                <w:rFonts w:ascii="Calibri" w:hAnsi="Calibri"/>
                <w:sz w:val="22"/>
              </w:rPr>
              <w:t>103.6</w:t>
            </w:r>
          </w:p>
        </w:tc>
        <w:tc>
          <w:tcPr>
            <w:tcW w:type="dxa" w:w="2160"/>
          </w:tcPr>
          <w:p>
            <w:r>
              <w:rPr>
                <w:rFonts w:ascii="Calibri" w:hAnsi="Calibri"/>
                <w:sz w:val="22"/>
              </w:rPr>
              <w:t>103.3</w:t>
            </w:r>
          </w:p>
        </w:tc>
      </w:tr>
    </w:tbl>
    <w:p>
      <w:r>
        <w:rPr>
          <w:rFonts w:ascii="Calibri" w:hAnsi="Calibri"/>
          <w:i/>
          <w:color w:val="525866"/>
          <w:sz w:val="22"/>
        </w:rPr>
        <w:t>Source: Stock Price Data (Yahoo Finance). Indexed to 100 at May 6, 2026 close ($385.86 AXON / $176.87 XLI / $733.83 SPY). Key events marked: Jun 4 = AXON peak at ~$513; Jul 7 = second peak at ~$640 (Trump TASER purchase news); Jul 10 = Board appointment 8-K (Mohindra &amp; Kant); Jul 22 = Q2 earnings date announcement. Aug 3 close: AXON $575.88, XLI $183.16, SPY $757.67.</w:t>
      </w:r>
    </w:p>
    <w:p>
      <w:r>
        <w:rPr>
          <w:rFonts w:ascii="Calibri" w:hAnsi="Calibri"/>
          <w:color w:val="525866"/>
          <w:sz w:val="22"/>
        </w:rPr>
        <w:t>Performance decomposition: Over the 3-month window, AXON's +54% gain was driven predominantly by multiple expansion (+34% on NTM EV/EBITDA from 29.7x to 42.5x) with a modest contribution from estimate revisions (essentially flat). Over 12 months, the stock is down -18%, with the multiple contracting sharply (-44% on EV/EBITDA from 71x to 40x), reflecting the de-rating from early 2026 highs. The recent re-rating back toward 40x EV/EBITDA suggests the market is rebuilding confidence in the growth story, but the stock remains well below its peak multiple, leaving room for further expansion if Q2 delivers.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p>
    <w:p>
      <w:r>
        <w:rPr>
          <w:rFonts w:ascii="Calibri" w:hAnsi="Calibri"/>
          <w:b/>
          <w:color w:val="525866"/>
          <w:sz w:val="22"/>
        </w:rPr>
        <w:t>ICE TASER contract solicitation</w:t>
      </w:r>
      <w:r>
        <w:rPr>
          <w:rFonts w:ascii="Calibri" w:hAnsi="Calibri"/>
          <w:color w:val="525866"/>
          <w:sz w:val="22"/>
        </w:rPr>
        <w:t xml:space="preserve"> — a potential $220M, 5-year federal award that is not in consensus and could be a meaningful positive surprise if awarded or discussed on the Q2 call.</w:t>
      </w:r>
    </w:p>
    <w:p>
      <w:pPr>
        <w:pStyle w:val="ListBullet"/>
        <w:ind w:left="360" w:hanging="360"/>
      </w:pPr>
      <w:r>
        <w:rPr>
          <w:rFonts w:ascii="Calibri" w:hAnsi="Calibri"/>
          <w:b/>
          <w:color w:val="525866"/>
          <w:sz w:val="22"/>
        </w:rPr>
        <w:t>Jul 24, 2026 — ICE $220M TASER Contract Solicitation:</w:t>
      </w:r>
      <w:r>
        <w:rPr>
          <w:rFonts w:ascii="Calibri" w:hAnsi="Calibri"/>
          <w:color w:val="525866"/>
          <w:sz w:val="22"/>
        </w:rPr>
        <w:t xml:space="preserve"> Following President Trump's disclosed purchase of up to $5M of AXON stock, ICE announced a 5-year, $220M contract solicitation to more than quadruple its TASER inventory. No contract has been awarded yet; Axon is the front-runner given it manufactures the TASERs currently used by ICE. </w:t>
      </w:r>
    </w:p>
    <w:p>
      <w:pPr>
        <w:pStyle w:val="ListBullet"/>
        <w:ind w:left="360" w:hanging="360"/>
      </w:pPr>
      <w:r>
        <w:rPr>
          <w:rFonts w:ascii="Calibri" w:hAnsi="Calibri"/>
          <w:i/>
          <w:color w:val="525866"/>
          <w:sz w:val="22"/>
        </w:rPr>
        <w:t>Implication:</w:t>
      </w:r>
      <w:r>
        <w:rPr>
          <w:rFonts w:ascii="Calibri" w:hAnsi="Calibri"/>
          <w:color w:val="525866"/>
          <w:sz w:val="22"/>
        </w:rPr>
        <w:t xml:space="preserve"> Not in consensus; if awarded, would represent a meaningful incremental federal revenue driver and validate Axon's federal market expansion narrative.</w:t>
      </w:r>
    </w:p>
    <w:p>
      <w:pPr>
        <w:pStyle w:val="ListBullet"/>
        <w:ind w:left="360" w:hanging="360"/>
      </w:pPr>
      <w:r>
        <w:rPr>
          <w:rFonts w:ascii="Calibri" w:hAnsi="Calibri"/>
          <w:b/>
          <w:color w:val="525866"/>
          <w:sz w:val="22"/>
        </w:rPr>
        <w:t>Jul 10, 2026 — Board Expansion (8-K):</w:t>
      </w:r>
      <w:r>
        <w:rPr>
          <w:rFonts w:ascii="Calibri" w:hAnsi="Calibri"/>
          <w:color w:val="525866"/>
          <w:sz w:val="22"/>
        </w:rPr>
        <w:t xml:space="preserve"> Axon appointed two new independent directors: Vivek Mohindra (former Dell Technologies SVP/Chief Strategy Officer, appointed to Audit and Compensation Committees) and Eiso Kant (co-founder/CTO of poolside AI, appointed as non-voting observer on M&amp;A and Capital Structure Committee). </w:t>
      </w:r>
    </w:p>
    <w:p>
      <w:pPr>
        <w:pStyle w:val="ListBullet"/>
        <w:ind w:left="360" w:hanging="360"/>
      </w:pPr>
      <w:r>
        <w:rPr>
          <w:rFonts w:ascii="Calibri" w:hAnsi="Calibri"/>
          <w:i/>
          <w:color w:val="525866"/>
          <w:sz w:val="22"/>
        </w:rPr>
        <w:t>Implication:</w:t>
      </w:r>
      <w:r>
        <w:rPr>
          <w:rFonts w:ascii="Calibri" w:hAnsi="Calibri"/>
          <w:color w:val="525866"/>
          <w:sz w:val="22"/>
        </w:rPr>
        <w:t xml:space="preserve"> Kant's AI infrastructure expertise (including Project Horizon data center campus in West Texas) directly aligns with Axon's counter-drone/data center protection opportunity and AI strategy. Mohindra's enterprise strategy background supports the enterprise market push.</w:t>
      </w:r>
    </w:p>
    <w:p>
      <w:pPr>
        <w:pStyle w:val="ListBullet"/>
        <w:ind w:left="360" w:hanging="360"/>
      </w:pPr>
      <w:r>
        <w:rPr>
          <w:rFonts w:ascii="Calibri" w:hAnsi="Calibri"/>
          <w:b/>
          <w:color w:val="525866"/>
          <w:sz w:val="22"/>
        </w:rPr>
        <w:t>Jul 22, 2026 — Q2 Earnings Date Confirmed:</w:t>
      </w:r>
      <w:r>
        <w:rPr>
          <w:rFonts w:ascii="Calibri" w:hAnsi="Calibri"/>
          <w:color w:val="525866"/>
          <w:sz w:val="22"/>
        </w:rPr>
        <w:t xml:space="preserve"> Axon confirmed Q2 2026 results will be released after market close on August 5, 2026, with a live Zoom webinar at 5:00 p.m. ET. Upcoming conference appearances: Goldman Sachs Communacopia + Technology (Sep 8), Wolfe Research TMT (Sep 9), Piper Sandler Growth Frontiers (Sep 15).</w:t>
      </w:r>
    </w:p>
    <w:p>
      <w:pPr>
        <w:pStyle w:val="ListBullet"/>
        <w:ind w:left="360" w:hanging="360"/>
      </w:pPr>
      <w:r>
        <w:rPr>
          <w:rFonts w:ascii="Calibri" w:hAnsi="Calibri"/>
          <w:b/>
          <w:color w:val="525866"/>
          <w:sz w:val="22"/>
        </w:rPr>
        <w:t>May 6, 2026 — Q1 2026 Earnings Beat &amp; Guidance Raise:</w:t>
      </w:r>
      <w:r>
        <w:rPr>
          <w:rFonts w:ascii="Calibri" w:hAnsi="Calibri"/>
          <w:color w:val="525866"/>
          <w:sz w:val="22"/>
        </w:rPr>
        <w:t xml:space="preserve"> Revenue of $807M (+34% YoY) beat consensus; FY 2026 revenue guidance raised to 30–32% growth (from 27–30%). Dedrone bookings +500% YoY; AI Era Plan bookings +140% YoY; international revenue +100% YoY at 20% of total. New FCF guidance of ~$450M introduced. </w:t>
      </w:r>
    </w:p>
    <w:p>
      <w:pPr>
        <w:pStyle w:val="ListBullet"/>
        <w:ind w:left="360" w:hanging="360"/>
      </w:pPr>
      <w:r>
        <w:rPr>
          <w:rFonts w:ascii="Calibri" w:hAnsi="Calibri"/>
          <w:i/>
          <w:color w:val="525866"/>
          <w:sz w:val="22"/>
        </w:rPr>
        <w:t>Implication:</w:t>
      </w:r>
      <w:r>
        <w:rPr>
          <w:rFonts w:ascii="Calibri" w:hAnsi="Calibri"/>
          <w:color w:val="525866"/>
          <w:sz w:val="22"/>
        </w:rPr>
        <w:t xml:space="preserve"> Sets a high operational bar for Q2; management described Q1 as the "strongest ever first quarter."</w:t>
      </w:r>
    </w:p>
    <w:p>
      <w:pPr>
        <w:pStyle w:val="ListBullet"/>
        <w:ind w:left="360" w:hanging="360"/>
      </w:pPr>
      <w:r>
        <w:rPr>
          <w:rFonts w:ascii="Calibri" w:hAnsi="Calibri"/>
          <w:b/>
          <w:color w:val="525866"/>
          <w:sz w:val="22"/>
        </w:rPr>
        <w:t>May 2026 — Axon Body Mini Production Shipping in July:</w:t>
      </w:r>
      <w:r>
        <w:rPr>
          <w:rFonts w:ascii="Calibri" w:hAnsi="Calibri"/>
          <w:color w:val="525866"/>
          <w:sz w:val="22"/>
        </w:rPr>
        <w:t xml:space="preserve"> Management confirmed on the Q1 call that Axon Body Mini production units would begin shipping in July 2026, targeting enterprise customers (retail, healthcare). </w:t>
      </w:r>
    </w:p>
    <w:p>
      <w:pPr>
        <w:pStyle w:val="ListBullet"/>
        <w:ind w:left="360" w:hanging="360"/>
      </w:pPr>
      <w:r>
        <w:rPr>
          <w:rFonts w:ascii="Calibri" w:hAnsi="Calibri"/>
          <w:i/>
          <w:color w:val="525866"/>
          <w:sz w:val="22"/>
        </w:rPr>
        <w:t>Implication:</w:t>
      </w:r>
      <w:r>
        <w:rPr>
          <w:rFonts w:ascii="Calibri" w:hAnsi="Calibri"/>
          <w:color w:val="525866"/>
          <w:sz w:val="22"/>
        </w:rPr>
        <w:t xml:space="preserve"> First revenue contribution from this product line could appear in Q2 or Q3 results; enterprise segment momentum is a key watch item.</w:t>
      </w:r>
    </w:p>
    <w:p>
      <w:pPr>
        <w:pStyle w:val="ListBullet"/>
        <w:ind w:left="360" w:hanging="360"/>
      </w:pPr>
      <w:r>
        <w:rPr>
          <w:rFonts w:ascii="Calibri" w:hAnsi="Calibri"/>
          <w:b/>
          <w:color w:val="525866"/>
          <w:sz w:val="22"/>
        </w:rPr>
        <w:t>May 2026 — Safer Skies Act:</w:t>
      </w:r>
      <w:r>
        <w:rPr>
          <w:rFonts w:ascii="Calibri" w:hAnsi="Calibri"/>
          <w:color w:val="525866"/>
          <w:sz w:val="22"/>
        </w:rPr>
        <w:t xml:space="preserve"> Legislation introduced $250M in federal grants and authorized local agencies to detect, track, and mitigate drone threats. </w:t>
      </w:r>
    </w:p>
    <w:p>
      <w:pPr>
        <w:pStyle w:val="ListBullet"/>
        <w:ind w:left="360" w:hanging="360"/>
      </w:pPr>
      <w:r>
        <w:rPr>
          <w:rFonts w:ascii="Calibri" w:hAnsi="Calibri"/>
          <w:i/>
          <w:color w:val="525866"/>
          <w:sz w:val="22"/>
        </w:rPr>
        <w:t>Implication:</w:t>
      </w:r>
      <w:r>
        <w:rPr>
          <w:rFonts w:ascii="Calibri" w:hAnsi="Calibri"/>
          <w:color w:val="525866"/>
          <w:sz w:val="22"/>
        </w:rPr>
        <w:t xml:space="preserve"> Multi-year tailwind for Dedrone; management cited this as enabling counter-drone technology adoption to be "sustainable" as a multi-year program.</w:t>
      </w:r>
    </w:p>
    <w:p>
      <w:pPr>
        <w:pStyle w:val="ListBullet"/>
        <w:ind w:left="360" w:hanging="360"/>
      </w:pPr>
      <w:r>
        <w:rPr>
          <w:rFonts w:ascii="Calibri" w:hAnsi="Calibri"/>
          <w:b/>
          <w:color w:val="525866"/>
          <w:sz w:val="22"/>
        </w:rPr>
        <w:t>Apr 2026 — $40M Telecom Enterprise Deal:</w:t>
      </w:r>
      <w:r>
        <w:rPr>
          <w:rFonts w:ascii="Calibri" w:hAnsi="Calibri"/>
          <w:color w:val="525866"/>
          <w:sz w:val="22"/>
        </w:rPr>
        <w:t xml:space="preserve"> Axon closed a $40M deal with one of the largest telecom providers globally, centered on Fusus, Axon Body Mini, and Axon Outpost. </w:t>
      </w:r>
    </w:p>
    <w:p>
      <w:pPr>
        <w:pStyle w:val="ListBullet"/>
        <w:ind w:left="360" w:hanging="360"/>
      </w:pPr>
      <w:r>
        <w:rPr>
          <w:rFonts w:ascii="Calibri" w:hAnsi="Calibri"/>
          <w:i/>
          <w:color w:val="525866"/>
          <w:sz w:val="22"/>
        </w:rPr>
        <w:t>Implication:</w:t>
      </w:r>
      <w:r>
        <w:rPr>
          <w:rFonts w:ascii="Calibri" w:hAnsi="Calibri"/>
          <w:color w:val="525866"/>
          <w:sz w:val="22"/>
        </w:rPr>
        <w:t xml:space="preserve"> Validates enterprise market thesis; this deal closed after Q1 ended and may contribute to Q2 bookings/revenue.</w:t>
      </w:r>
    </w:p>
    <w:p>
      <w:r>
        <w:br w:type="page"/>
      </w:r>
    </w:p>
    <w:p>
      <w:pPr>
        <w:pStyle w:val="Heading2"/>
      </w:pPr>
      <w:r>
        <w:rPr>
          <w:rFonts w:ascii="Calibri" w:hAnsi="Calibri"/>
          <w:b/>
          <w:color w:val="3B4259"/>
          <w:sz w:val="28"/>
        </w:rPr>
        <w:t>7. Peer Commentary &amp; Current-Quarter Read-Through</w:t>
      </w:r>
    </w:p>
    <w:p>
      <w:r>
        <w:rPr>
          <w:rFonts w:ascii="Calibri" w:hAnsi="Calibri"/>
          <w:b/>
          <w:color w:val="525866"/>
          <w:sz w:val="22"/>
        </w:rPr>
        <w:t xml:space="preserve">Key Takeaway: </w:t>
      </w:r>
      <w:r>
        <w:rPr>
          <w:rFonts w:ascii="Calibri" w:hAnsi="Calibri"/>
          <w:color w:val="525866"/>
          <w:sz w:val="22"/>
        </w:rPr>
        <w:t>The only qualifying peer with current-quarter commentary is Tyler Technologies (TYL, reported July 29, 2026), which delivered an unambiguously positive read-through for public safety and government technology demand in Q2 2026. The read-through is directionally bullish for AXON's Q2 print. Motorola Solutions (MSI), the most direct public safety peer, is excluded because it reports on the same date as AXON (August 5, 2026) and results are not yet available.</w:t>
      </w:r>
    </w:p>
    <w:p>
      <w:pPr>
        <w:pStyle w:val="Heading3"/>
      </w:pPr>
      <w:r>
        <w:rPr>
          <w:rFonts w:ascii="Calibri" w:hAnsi="Calibri"/>
          <w:b/>
          <w:color w:val="3B4259"/>
          <w:sz w:val="24"/>
        </w:rPr>
        <w:t>Scope &amp; Methodology</w:t>
      </w:r>
    </w:p>
    <w:p>
      <w:r>
        <w:rPr>
          <w:rFonts w:ascii="Calibri" w:hAnsi="Calibri"/>
          <w:color w:val="525866"/>
          <w:sz w:val="22"/>
        </w:rPr>
        <w:t>This section includes only peer commentary from the last 60 days (June 5 – August 4, 2026) that speaks directly to the current calendar Q2 2026 demand environment (quarter ended June 30, 2026) or provides forward-looking color on conditions relevant to Axon's Q2 results. Excluded: (1) any commentary that speaks only to a prior quarter's results without forward-looking relevance to Q2 2026; (2) peers reporting on the same date as AXON (August 5, 2026) whose results are not yet available. Historical prior-quarter-only commentary is explicitly excluded per the user's timing rule.</w:t>
      </w:r>
    </w:p>
    <w:p>
      <w:pPr>
        <w:pStyle w:val="Heading3"/>
      </w:pPr>
      <w:r>
        <w:rPr>
          <w:rFonts w:ascii="Calibri" w:hAnsi="Calibri"/>
          <w:b/>
          <w:color w:val="3B4259"/>
          <w:sz w:val="24"/>
        </w:rPr>
        <w:t>Qualifying Peer: Tyler Technologies (TYL) — Q2 2026 Results (Reported July 29, 2026)</w:t>
      </w:r>
    </w:p>
    <w:p>
      <w:r>
        <w:rPr>
          <w:rFonts w:ascii="Calibri" w:hAnsi="Calibri"/>
          <w:b/>
          <w:color w:val="525866"/>
          <w:sz w:val="22"/>
        </w:rPr>
        <w:t xml:space="preserve">Relevance: </w:t>
      </w:r>
      <w:r>
        <w:rPr>
          <w:rFonts w:ascii="Calibri" w:hAnsi="Calibri"/>
          <w:color w:val="525866"/>
          <w:sz w:val="22"/>
        </w:rPr>
        <w:t>Tyler Technologies is the leading provider of software solutions exclusively for the U.S. public sector, serving state and local governments across all 50 states, including public safety, courts, and justice. It is the closest publicly traded read-through for U.S. state and local government technology spending — the same budget pool that funds Axon's TASER, body camera, and software deployments.</w:t>
      </w:r>
    </w:p>
    <w:p>
      <w:r>
        <w:rPr>
          <w:rFonts w:ascii="Calibri" w:hAnsi="Calibri"/>
          <w:color w:val="525866"/>
          <w:sz w:val="22"/>
        </w:rPr>
        <w:t>Key Q2 2026 Commentary from TYL (Earnings Call, July 30, 2026):</w:t>
      </w:r>
    </w:p>
    <w:p>
      <w:pPr>
        <w:pStyle w:val="ListBullet"/>
        <w:ind w:left="360" w:hanging="360"/>
      </w:pPr>
      <w:r>
        <w:rPr>
          <w:rFonts w:ascii="Calibri" w:hAnsi="Calibri"/>
          <w:b/>
          <w:color w:val="525866"/>
          <w:sz w:val="22"/>
        </w:rPr>
        <w:t xml:space="preserve">Government budget health: </w:t>
      </w:r>
      <w:r>
        <w:rPr>
          <w:rFonts w:ascii="Calibri" w:hAnsi="Calibri"/>
          <w:color w:val="525866"/>
          <w:sz w:val="22"/>
        </w:rPr>
        <w:t>"Public sector demand remains healthy, reflecting sustained modernization priorities for the public sector that translated into record SaaS and total bookings." — CEO Lynn Moore. "Budgets are generally healthy and stable. It's been pretty consistent now for the last several quarters, maybe a year and a half, two years." No budget pressure or spending slowdown flagged across any government vertical.</w:t>
      </w:r>
    </w:p>
    <w:p>
      <w:pPr>
        <w:pStyle w:val="ListBullet"/>
        <w:ind w:left="360" w:hanging="360"/>
      </w:pPr>
      <w:r>
        <w:rPr>
          <w:rFonts w:ascii="Calibri" w:hAnsi="Calibri"/>
          <w:b/>
          <w:color w:val="525866"/>
          <w:sz w:val="22"/>
        </w:rPr>
        <w:t xml:space="preserve">Public safety specifically: </w:t>
      </w:r>
      <w:r>
        <w:rPr>
          <w:rFonts w:ascii="Calibri" w:hAnsi="Calibri"/>
          <w:color w:val="525866"/>
          <w:sz w:val="22"/>
        </w:rPr>
        <w:t>"The public safety market is pretty healthy. Budgets seem to be stable." TYL won "some really nice wins this quarter against some really key competitors" in public safety. "Public safety is moving. All is moving to SaaS. That's all we're selling" — contrasting TYL's pure-SaaS approach with competitors still in "lift and shift mode."</w:t>
      </w:r>
    </w:p>
    <w:p>
      <w:pPr>
        <w:pStyle w:val="ListBullet"/>
        <w:ind w:left="360" w:hanging="360"/>
      </w:pPr>
      <w:r>
        <w:rPr>
          <w:rFonts w:ascii="Calibri" w:hAnsi="Calibri"/>
          <w:b/>
          <w:color w:val="525866"/>
          <w:sz w:val="22"/>
        </w:rPr>
        <w:t xml:space="preserve">AI demand — real but early: </w:t>
      </w:r>
      <w:r>
        <w:rPr>
          <w:rFonts w:ascii="Calibri" w:hAnsi="Calibri"/>
          <w:color w:val="525866"/>
          <w:sz w:val="22"/>
        </w:rPr>
        <w:t>"A lot of excitement and energy around the products that we're starting to bring to market around AI" with early customer adoption, but "more meaningful revenues coming from AI" not expected until "probably the second half of 27." Customers prioritize "features and functionality, vendor reliability, and AI product roadmap" over lowest price.</w:t>
      </w:r>
    </w:p>
    <w:p>
      <w:pPr>
        <w:pStyle w:val="ListBullet"/>
        <w:ind w:left="360" w:hanging="360"/>
      </w:pPr>
      <w:r>
        <w:rPr>
          <w:rFonts w:ascii="Calibri" w:hAnsi="Calibri"/>
          <w:b/>
          <w:color w:val="525866"/>
          <w:sz w:val="22"/>
        </w:rPr>
        <w:t xml:space="preserve">AI as a labor-budget unlock: </w:t>
      </w:r>
      <w:r>
        <w:rPr>
          <w:rFonts w:ascii="Calibri" w:hAnsi="Calibri"/>
          <w:color w:val="525866"/>
          <w:sz w:val="22"/>
        </w:rPr>
        <w:t>TYL noted AI can "expand your TAM beyond targeting traditional software budgets into more of the labor related spending," particularly given the public sector's "shrinking labor force." Directly relevant to Axon's Draft One and AI Era Plan value proposition (officer time savings).</w:t>
      </w:r>
    </w:p>
    <w:p>
      <w:pPr>
        <w:pStyle w:val="ListBullet"/>
        <w:ind w:left="360" w:hanging="360"/>
      </w:pPr>
      <w:r>
        <w:rPr>
          <w:rFonts w:ascii="Calibri" w:hAnsi="Calibri"/>
          <w:b/>
          <w:color w:val="525866"/>
          <w:sz w:val="22"/>
        </w:rPr>
        <w:t xml:space="preserve">TYL Q2 2026 financials: </w:t>
      </w:r>
      <w:r>
        <w:rPr>
          <w:rFonts w:ascii="Calibri" w:hAnsi="Calibri"/>
          <w:color w:val="525866"/>
          <w:sz w:val="22"/>
        </w:rPr>
        <w:t>Total revenues $645.1M (+8.2% YoY); SaaS revenues $230.6M (+21.7% YoY, 22nd consecutive quarter of 20%+ SaaS growth); ARR $2.24B (+8.2%); record SaaS and total bookings.</w:t>
      </w:r>
    </w:p>
    <w:p>
      <w:pPr>
        <w:pStyle w:val="Heading3"/>
      </w:pPr>
      <w:r>
        <w:rPr>
          <w:rFonts w:ascii="Calibri" w:hAnsi="Calibri"/>
          <w:b/>
          <w:color w:val="3B4259"/>
          <w:sz w:val="24"/>
        </w:rPr>
        <w:t>Read-Through Assessment for AXON Q2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TYL Commentary</w:t>
            </w:r>
          </w:p>
        </w:tc>
        <w:tc>
          <w:tcPr>
            <w:tcW w:type="dxa" w:w="2160"/>
            <w:shd w:val="clear" w:color="auto" w:fill="3B4259"/>
          </w:tcPr>
          <w:p>
            <w:r>
              <w:rPr>
                <w:rFonts w:ascii="Calibri" w:hAnsi="Calibri"/>
                <w:b/>
                <w:color w:val="FFFFFF"/>
                <w:sz w:val="22"/>
              </w:rPr>
              <w:t>AXON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Government Budget Health</w:t>
            </w:r>
          </w:p>
        </w:tc>
        <w:tc>
          <w:tcPr>
            <w:tcW w:type="dxa" w:w="2160"/>
          </w:tcPr>
          <w:p>
            <w:r>
              <w:rPr>
                <w:rFonts w:ascii="Calibri" w:hAnsi="Calibri"/>
                <w:sz w:val="22"/>
              </w:rPr>
              <w:t>"Healthy and stable" for 1.5–2 years; no change in Q2</w:t>
            </w:r>
          </w:p>
        </w:tc>
        <w:tc>
          <w:tcPr>
            <w:tcW w:type="dxa" w:w="2160"/>
          </w:tcPr>
          <w:p>
            <w:r>
              <w:rPr>
                <w:rFonts w:ascii="Calibri" w:hAnsi="Calibri"/>
                <w:sz w:val="22"/>
              </w:rPr>
              <w:t>Supports AXON's state/local TASER and body camera procurement pipeline</w:t>
            </w:r>
          </w:p>
        </w:tc>
        <w:tc>
          <w:tcPr>
            <w:tcW w:type="dxa" w:w="2160"/>
          </w:tcPr>
          <w:p>
            <w:r>
              <w:rPr>
                <w:rFonts w:ascii="Calibri" w:hAnsi="Calibri"/>
                <w:b/>
                <w:color w:val="30A46C"/>
                <w:sz w:val="22"/>
              </w:rPr>
              <w:t>Positive</w:t>
            </w:r>
          </w:p>
        </w:tc>
      </w:tr>
      <w:tr>
        <w:tc>
          <w:tcPr>
            <w:tcW w:type="dxa" w:w="2160"/>
          </w:tcPr>
          <w:p>
            <w:r>
              <w:rPr>
                <w:rFonts w:ascii="Calibri" w:hAnsi="Calibri"/>
                <w:sz w:val="22"/>
              </w:rPr>
              <w:t>Public Safety Demand</w:t>
            </w:r>
          </w:p>
        </w:tc>
        <w:tc>
          <w:tcPr>
            <w:tcW w:type="dxa" w:w="2160"/>
          </w:tcPr>
          <w:p>
            <w:r>
              <w:rPr>
                <w:rFonts w:ascii="Calibri" w:hAnsi="Calibri"/>
                <w:sz w:val="22"/>
              </w:rPr>
              <w:t>"Pretty healthy"; record bookings; competitive wins in enforcement mobile</w:t>
            </w:r>
          </w:p>
        </w:tc>
        <w:tc>
          <w:tcPr>
            <w:tcW w:type="dxa" w:w="2160"/>
          </w:tcPr>
          <w:p>
            <w:r>
              <w:rPr>
                <w:rFonts w:ascii="Calibri" w:hAnsi="Calibri"/>
                <w:sz w:val="22"/>
              </w:rPr>
              <w:t>Direct read-through for AXON's core law enforcement market</w:t>
            </w:r>
          </w:p>
        </w:tc>
        <w:tc>
          <w:tcPr>
            <w:tcW w:type="dxa" w:w="2160"/>
          </w:tcPr>
          <w:p>
            <w:r>
              <w:rPr>
                <w:rFonts w:ascii="Calibri" w:hAnsi="Calibri"/>
                <w:b/>
                <w:color w:val="30A46C"/>
                <w:sz w:val="22"/>
              </w:rPr>
              <w:t>Positive</w:t>
            </w:r>
          </w:p>
        </w:tc>
      </w:tr>
      <w:tr>
        <w:tc>
          <w:tcPr>
            <w:tcW w:type="dxa" w:w="2160"/>
          </w:tcPr>
          <w:p>
            <w:r>
              <w:rPr>
                <w:rFonts w:ascii="Calibri" w:hAnsi="Calibri"/>
                <w:sz w:val="22"/>
              </w:rPr>
              <w:t>SaaS / Cloud Adoption</w:t>
            </w:r>
          </w:p>
        </w:tc>
        <w:tc>
          <w:tcPr>
            <w:tcW w:type="dxa" w:w="2160"/>
          </w:tcPr>
          <w:p>
            <w:r>
              <w:rPr>
                <w:rFonts w:ascii="Calibri" w:hAnsi="Calibri"/>
                <w:sz w:val="22"/>
              </w:rPr>
              <w:t>22 consecutive quarters of 20%+ SaaS growth; "all moving to SaaS"</w:t>
            </w:r>
          </w:p>
        </w:tc>
        <w:tc>
          <w:tcPr>
            <w:tcW w:type="dxa" w:w="2160"/>
          </w:tcPr>
          <w:p>
            <w:r>
              <w:rPr>
                <w:rFonts w:ascii="Calibri" w:hAnsi="Calibri"/>
                <w:sz w:val="22"/>
              </w:rPr>
              <w:t>Validates AXON's ARR growth trajectory and software attach rates</w:t>
            </w:r>
          </w:p>
        </w:tc>
        <w:tc>
          <w:tcPr>
            <w:tcW w:type="dxa" w:w="2160"/>
          </w:tcPr>
          <w:p>
            <w:r>
              <w:rPr>
                <w:rFonts w:ascii="Calibri" w:hAnsi="Calibri"/>
                <w:b/>
                <w:color w:val="30A46C"/>
                <w:sz w:val="22"/>
              </w:rPr>
              <w:t>Positive</w:t>
            </w:r>
          </w:p>
        </w:tc>
      </w:tr>
      <w:tr>
        <w:tc>
          <w:tcPr>
            <w:tcW w:type="dxa" w:w="2160"/>
          </w:tcPr>
          <w:p>
            <w:r>
              <w:rPr>
                <w:rFonts w:ascii="Calibri" w:hAnsi="Calibri"/>
                <w:sz w:val="22"/>
              </w:rPr>
              <w:t>AI Demand Timing</w:t>
            </w:r>
          </w:p>
        </w:tc>
        <w:tc>
          <w:tcPr>
            <w:tcW w:type="dxa" w:w="2160"/>
          </w:tcPr>
          <w:p>
            <w:r>
              <w:rPr>
                <w:rFonts w:ascii="Calibri" w:hAnsi="Calibri"/>
                <w:sz w:val="22"/>
              </w:rPr>
              <w:t>Early adoption; meaningful revenue not until H2 2027 for TYL</w:t>
            </w:r>
          </w:p>
        </w:tc>
        <w:tc>
          <w:tcPr>
            <w:tcW w:type="dxa" w:w="2160"/>
          </w:tcPr>
          <w:p>
            <w:r>
              <w:rPr>
                <w:rFonts w:ascii="Calibri" w:hAnsi="Calibri"/>
                <w:sz w:val="22"/>
              </w:rPr>
              <w:t>AXON's AI Era Plan is further ahead in monetization; limited read-through on AI revenue timing</w:t>
            </w:r>
          </w:p>
        </w:tc>
        <w:tc>
          <w:tcPr>
            <w:tcW w:type="dxa" w:w="2160"/>
          </w:tcPr>
          <w:p>
            <w:r>
              <w:rPr>
                <w:rFonts w:ascii="Calibri" w:hAnsi="Calibri"/>
                <w:b/>
                <w:sz w:val="22"/>
              </w:rPr>
              <w:t>Neutral</w:t>
            </w:r>
          </w:p>
        </w:tc>
      </w:tr>
      <w:tr>
        <w:tc>
          <w:tcPr>
            <w:tcW w:type="dxa" w:w="2160"/>
          </w:tcPr>
          <w:p>
            <w:r>
              <w:rPr>
                <w:rFonts w:ascii="Calibri" w:hAnsi="Calibri"/>
                <w:sz w:val="22"/>
              </w:rPr>
              <w:t>Procurement Prioritization</w:t>
            </w:r>
          </w:p>
        </w:tc>
        <w:tc>
          <w:tcPr>
            <w:tcW w:type="dxa" w:w="2160"/>
          </w:tcPr>
          <w:p>
            <w:r>
              <w:rPr>
                <w:rFonts w:ascii="Calibri" w:hAnsi="Calibri"/>
                <w:sz w:val="22"/>
              </w:rPr>
              <w:t>Customers prioritize features/AI roadmap over lowest price</w:t>
            </w:r>
          </w:p>
        </w:tc>
        <w:tc>
          <w:tcPr>
            <w:tcW w:type="dxa" w:w="2160"/>
          </w:tcPr>
          <w:p>
            <w:r>
              <w:rPr>
                <w:rFonts w:ascii="Calibri" w:hAnsi="Calibri"/>
                <w:sz w:val="22"/>
              </w:rPr>
              <w:t>Supports AXON's premium pricing and AI Era Plan upsell strategy</w:t>
            </w:r>
          </w:p>
        </w:tc>
        <w:tc>
          <w:tcPr>
            <w:tcW w:type="dxa" w:w="2160"/>
          </w:tcPr>
          <w:p>
            <w:r>
              <w:rPr>
                <w:rFonts w:ascii="Calibri" w:hAnsi="Calibri"/>
                <w:b/>
                <w:color w:val="30A46C"/>
                <w:sz w:val="22"/>
              </w:rPr>
              <w:t>Positive</w:t>
            </w:r>
          </w:p>
        </w:tc>
      </w:tr>
      <w:tr>
        <w:tc>
          <w:tcPr>
            <w:tcW w:type="dxa" w:w="2160"/>
          </w:tcPr>
          <w:p>
            <w:r>
              <w:rPr>
                <w:rFonts w:ascii="Calibri" w:hAnsi="Calibri"/>
                <w:sz w:val="22"/>
              </w:rPr>
              <w:t>AI as Labor Budget Unlock</w:t>
            </w:r>
          </w:p>
        </w:tc>
        <w:tc>
          <w:tcPr>
            <w:tcW w:type="dxa" w:w="2160"/>
          </w:tcPr>
          <w:p>
            <w:r>
              <w:rPr>
                <w:rFonts w:ascii="Calibri" w:hAnsi="Calibri"/>
                <w:sz w:val="22"/>
              </w:rPr>
              <w:t>AI can tap labor budgets given shrinking public sector workforce</w:t>
            </w:r>
          </w:p>
        </w:tc>
        <w:tc>
          <w:tcPr>
            <w:tcW w:type="dxa" w:w="2160"/>
          </w:tcPr>
          <w:p>
            <w:r>
              <w:rPr>
                <w:rFonts w:ascii="Calibri" w:hAnsi="Calibri"/>
                <w:sz w:val="22"/>
              </w:rPr>
              <w:t>Directly supports Draft One / AI Era Plan ROI narrative for law enforcement</w:t>
            </w:r>
          </w:p>
        </w:tc>
        <w:tc>
          <w:tcPr>
            <w:tcW w:type="dxa" w:w="2160"/>
          </w:tcPr>
          <w:p>
            <w:r>
              <w:rPr>
                <w:rFonts w:ascii="Calibri" w:hAnsi="Calibri"/>
                <w:b/>
                <w:color w:val="30A46C"/>
                <w:sz w:val="22"/>
              </w:rPr>
              <w:t>Positive</w:t>
            </w:r>
          </w:p>
        </w:tc>
      </w:tr>
    </w:tbl>
    <w:p>
      <w:r>
        <w:rPr>
          <w:rFonts w:ascii="Calibri" w:hAnsi="Calibri"/>
          <w:b/>
          <w:color w:val="525866"/>
          <w:sz w:val="22"/>
        </w:rPr>
        <w:t xml:space="preserve">Limitations of TYL Read-Through: </w:t>
      </w:r>
      <w:r>
        <w:rPr>
          <w:rFonts w:ascii="Calibri" w:hAnsi="Calibri"/>
          <w:color w:val="525866"/>
          <w:sz w:val="22"/>
        </w:rPr>
        <w:t>TYL's growth profile (8% revenue growth) is materially slower than AXON's (30%+), and TYL's public safety exposure is primarily records management and courts software rather than hardware (TASERs, body cameras) or counter-drone. TYL's AI commentary reflects a more nascent monetization stage than AXON's, where AI Era Plan bookings are already up 140% YoY. The read-through is most reliable for the macro demand environment (government budgets, SaaS adoption) and least reliable for product-specific or growth-rate signals.</w:t>
      </w:r>
    </w:p>
    <w:p>
      <w:pPr>
        <w:pStyle w:val="Heading3"/>
      </w:pPr>
      <w:r>
        <w:rPr>
          <w:rFonts w:ascii="Calibri" w:hAnsi="Calibri"/>
          <w:b/>
          <w:color w:val="3B4259"/>
          <w:sz w:val="24"/>
        </w:rPr>
        <w:t>Excluded Peer: Motorola Solutions (MSI) — Q2 2026 Results Scheduled August 5, 2026</w:t>
      </w:r>
    </w:p>
    <w:p>
      <w:r>
        <w:rPr>
          <w:rFonts w:ascii="Calibri" w:hAnsi="Calibri"/>
          <w:color w:val="525866"/>
          <w:sz w:val="22"/>
        </w:rPr>
        <w:t xml:space="preserve">MSI is the most direct public safety technology peer to AXON (two-way radio, video security, command center software for law enforcement). However, MSI is scheduled to report Q2 2026 results on </w:t>
      </w:r>
    </w:p>
    <w:p>
      <w:r>
        <w:rPr>
          <w:rFonts w:ascii="Calibri" w:hAnsi="Calibri"/>
          <w:b/>
          <w:color w:val="525866"/>
          <w:sz w:val="22"/>
        </w:rPr>
        <w:t>the same date as AXON (August 5, 2026)</w:t>
      </w:r>
      <w:r>
        <w:rPr>
          <w:rFonts w:ascii="Calibri" w:hAnsi="Calibri"/>
          <w:color w:val="525866"/>
          <w:sz w:val="22"/>
        </w:rPr>
        <w:t>, and its results are not yet available as of this report's preparation date (August 4, 2026). Accordingly, MSI is excluded from this section. Investors should monitor MSI's Q2 2026 commentary on August 5 for any incremental read-through on public safety demand, government budget trends, and AI/software attach rates that could inform AXON's forward outlook.</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sales since Q1 earnings are under pre-established 10b5-1 plans (CEO Patrick Smith) or are small discretionary sales by the CLO. </w:t>
      </w:r>
    </w:p>
    <w:p>
      <w:r>
        <w:rPr>
          <w:rFonts w:ascii="Calibri" w:hAnsi="Calibri"/>
          <w:b/>
          <w:color w:val="525866"/>
          <w:sz w:val="22"/>
        </w:rPr>
        <w:t>No open-market buys</w:t>
      </w:r>
      <w:r>
        <w:rPr>
          <w:rFonts w:ascii="Calibri" w:hAnsi="Calibri"/>
          <w:color w:val="525866"/>
          <w:sz w:val="22"/>
        </w:rPr>
        <w:t xml:space="preserve"> have been filed; the absence of discretionary buying at current prices is not alarming given the stock's sharp rally (+57% since Q1 earnings), and the 10b5-1 plan sales are routine and non-signaling.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Patrick W. Smith</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10,000</w:t>
            </w:r>
          </w:p>
        </w:tc>
        <w:tc>
          <w:tcPr>
            <w:tcW w:type="dxa" w:w="1440"/>
          </w:tcPr>
          <w:p>
            <w:r>
              <w:rPr>
                <w:rFonts w:ascii="Calibri" w:hAnsi="Calibri"/>
                <w:sz w:val="22"/>
              </w:rPr>
              <w:t>Jul 7, 2026</w:t>
            </w:r>
          </w:p>
        </w:tc>
        <w:tc>
          <w:tcPr>
            <w:tcW w:type="dxa" w:w="1440"/>
          </w:tcPr>
          <w:p>
            <w:r>
              <w:rPr>
                <w:rFonts w:ascii="Calibri" w:hAnsi="Calibri"/>
                <w:sz w:val="22"/>
              </w:rPr>
              <w:t>Pre-planned; routine 10b5-1 sale; ~3.04M shares remain</w:t>
            </w:r>
          </w:p>
        </w:tc>
      </w:tr>
      <w:tr>
        <w:tc>
          <w:tcPr>
            <w:tcW w:type="dxa" w:w="1440"/>
          </w:tcPr>
          <w:p>
            <w:r>
              <w:rPr>
                <w:rFonts w:ascii="Calibri" w:hAnsi="Calibri"/>
                <w:sz w:val="22"/>
              </w:rPr>
              <w:t>Patrick W. Smith</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10,000</w:t>
            </w:r>
          </w:p>
        </w:tc>
        <w:tc>
          <w:tcPr>
            <w:tcW w:type="dxa" w:w="1440"/>
          </w:tcPr>
          <w:p>
            <w:r>
              <w:rPr>
                <w:rFonts w:ascii="Calibri" w:hAnsi="Calibri"/>
                <w:sz w:val="22"/>
              </w:rPr>
              <w:t>Jun 29, 2026</w:t>
            </w:r>
          </w:p>
        </w:tc>
        <w:tc>
          <w:tcPr>
            <w:tcW w:type="dxa" w:w="1440"/>
          </w:tcPr>
          <w:p>
            <w:r>
              <w:rPr>
                <w:rFonts w:ascii="Calibri" w:hAnsi="Calibri"/>
                <w:sz w:val="22"/>
              </w:rPr>
              <w:t>Pre-planned; routine 10b5-1 sale; ~3.05M shares remain</w:t>
            </w:r>
          </w:p>
        </w:tc>
      </w:tr>
      <w:tr>
        <w:tc>
          <w:tcPr>
            <w:tcW w:type="dxa" w:w="1440"/>
          </w:tcPr>
          <w:p>
            <w:r>
              <w:rPr>
                <w:rFonts w:ascii="Calibri" w:hAnsi="Calibri"/>
                <w:sz w:val="22"/>
              </w:rPr>
              <w:t>Patrick W. Smith</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20,000</w:t>
            </w:r>
          </w:p>
        </w:tc>
        <w:tc>
          <w:tcPr>
            <w:tcW w:type="dxa" w:w="1440"/>
          </w:tcPr>
          <w:p>
            <w:r>
              <w:rPr>
                <w:rFonts w:ascii="Calibri" w:hAnsi="Calibri"/>
                <w:sz w:val="22"/>
              </w:rPr>
              <w:t>Jun 4, 2026</w:t>
            </w:r>
          </w:p>
        </w:tc>
        <w:tc>
          <w:tcPr>
            <w:tcW w:type="dxa" w:w="1440"/>
          </w:tcPr>
          <w:p>
            <w:r>
              <w:rPr>
                <w:rFonts w:ascii="Calibri" w:hAnsi="Calibri"/>
                <w:sz w:val="22"/>
              </w:rPr>
              <w:t>Pre-planned; routine 10b5-1 sale; ~3.06M shares remain</w:t>
            </w:r>
          </w:p>
        </w:tc>
      </w:tr>
      <w:tr>
        <w:tc>
          <w:tcPr>
            <w:tcW w:type="dxa" w:w="1440"/>
          </w:tcPr>
          <w:p>
            <w:r>
              <w:rPr>
                <w:rFonts w:ascii="Calibri" w:hAnsi="Calibri"/>
                <w:sz w:val="22"/>
              </w:rPr>
              <w:t>Isaiah Fields</w:t>
            </w:r>
          </w:p>
        </w:tc>
        <w:tc>
          <w:tcPr>
            <w:tcW w:type="dxa" w:w="1440"/>
          </w:tcPr>
          <w:p>
            <w:r>
              <w:rPr>
                <w:rFonts w:ascii="Calibri" w:hAnsi="Calibri"/>
                <w:sz w:val="22"/>
              </w:rPr>
              <w:t>Chief Legal Officer</w:t>
            </w:r>
          </w:p>
        </w:tc>
        <w:tc>
          <w:tcPr>
            <w:tcW w:type="dxa" w:w="1440"/>
          </w:tcPr>
          <w:p>
            <w:r>
              <w:rPr>
                <w:rFonts w:ascii="Calibri" w:hAnsi="Calibri"/>
                <w:sz w:val="22"/>
              </w:rPr>
              <w:t>Open Market Sale</w:t>
            </w:r>
          </w:p>
        </w:tc>
        <w:tc>
          <w:tcPr>
            <w:tcW w:type="dxa" w:w="1440"/>
          </w:tcPr>
          <w:p>
            <w:r>
              <w:rPr>
                <w:rFonts w:ascii="Calibri" w:hAnsi="Calibri"/>
                <w:sz w:val="22"/>
              </w:rPr>
              <w:t>2,000</w:t>
            </w:r>
          </w:p>
        </w:tc>
        <w:tc>
          <w:tcPr>
            <w:tcW w:type="dxa" w:w="1440"/>
          </w:tcPr>
          <w:p>
            <w:r>
              <w:rPr>
                <w:rFonts w:ascii="Calibri" w:hAnsi="Calibri"/>
                <w:sz w:val="22"/>
              </w:rPr>
              <w:t>May 22, 2026</w:t>
            </w:r>
          </w:p>
        </w:tc>
        <w:tc>
          <w:tcPr>
            <w:tcW w:type="dxa" w:w="1440"/>
          </w:tcPr>
          <w:p>
            <w:r>
              <w:rPr>
                <w:rFonts w:ascii="Calibri" w:hAnsi="Calibri"/>
                <w:sz w:val="22"/>
              </w:rPr>
              <w:t>Discretionary sale; no 10b5-1 plan; ~52,813 shares remain</w:t>
            </w:r>
          </w:p>
        </w:tc>
      </w:tr>
    </w:tbl>
    <w:p>
      <w:r>
        <w:rPr>
          <w:rFonts w:ascii="Calibri" w:hAnsi="Calibri"/>
          <w:i/>
          <w:color w:val="525866"/>
          <w:sz w:val="22"/>
        </w:rPr>
        <w:t>Source: SEC Form 4 Filings Database (Insider Transaction Data). Window: May 6 – August 4, 2026. Open-market buys (code P) and sells (code S) only, plus 10b5-1 plan sales. Note: A Form 144 filing by Matthew McBrady was disclosed on August 4, 2026, indicating an intention to sell $599,445 of AXON stock; this is a notice of intended sale (pre-sale disclosure) and does not represent an executed transaction as of the preparation date.</w:t>
      </w:r>
    </w:p>
    <w:p>
      <w:r>
        <w:rPr>
          <w:rFonts w:ascii="Calibri" w:hAnsi="Calibri"/>
          <w:b/>
          <w:color w:val="525866"/>
          <w:sz w:val="22"/>
        </w:rPr>
        <w:t xml:space="preserve">Assessment: </w:t>
      </w:r>
      <w:r>
        <w:rPr>
          <w:rFonts w:ascii="Calibri" w:hAnsi="Calibri"/>
          <w:color w:val="525866"/>
          <w:sz w:val="22"/>
        </w:rPr>
        <w:t>CEO Smith's 10b5-1 sales are consistent with a pre-established diversification plan and are non-signaling — the CEO retains approximately 3.04 million shares, representing substantial ongoing alignment with shareholders. The CLO's 2,000-share discretionary sale on May 22 is small relative to his remaining position (~52,813 shares) and is not unusual for an executive managing tax obligations. No open-market buys have been filed since Q1 earnings, which is unsurprising given the stock's +57% rally from the Q1 earnings close. Nothing in the insider activity pattern raises a flag heading into Q2 results.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