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all-earnings-predictions--2026-08-04"/>
    <w:p>
      <w:pPr>
        <w:pStyle w:val="Heading1"/>
      </w:pPr>
      <w:r>
        <w:t xml:space="preserve">BALL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Comparable diluted EPS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~$1.02 vs. cons $0.99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~$3.55B vs. cons $3.45B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Enterprise volume growth YoY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~+4% vs. cons ~+2.5%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comparable EPS growth algorithm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~10%+ vs. cons ~10%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&gt;</w:t>
            </w:r>
            <m:oMath>
              <m:r>
                <m:t>900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900M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Millersburg/end-domestication start-up cost drag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35M (H2/Q3-weighted)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capital returns to shareholders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800M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(FADE)</w:t>
            </w:r>
          </w:p>
        </w:tc>
        <w:tc>
          <w:tcPr/>
          <w:p>
            <w:pPr>
              <w:pStyle w:val="Compact"/>
            </w:pPr>
            <w:r>
              <w:t xml:space="preserve">A likely EPS/volume beat with a reaffirmed (not raised) 10%+ EPS algorithm gets a muted reward because shares already re-rated ~24% off lows and ran ~8% into the print, leaving a high bar. The out-period math drives the fade: management pre-flagged ~$35M of Millersburg/end-domestication start-up costs hitting later in Q2 and heavily in Q3, so a good Q2 forces analysts to trim Q3 NCA operating-leverage/EPS estimates even after the beat. That implicit near-term cut, plus 'sold-out for 2026 but no upside surprise to the algorithm' framing, pulls the initial pop back toward flat over the following week.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2026-08-04T00:47:30Z</dcterms:created>
  <dcterms:modified xsi:type="dcterms:W3CDTF">2026-08-04T00:47:30Z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