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BALL Corporation before writing the earnings preview. Let me start gathering data.Let me read the Q1 2026 earnings materials and get sector news.Let me gather recent news and any Q2 estimate context.I have enough to write a comprehensive preview. Let me verify the earnings announcement details quickly.# Ball Corporation (NYSE: BALL) — Q2 2026 Earnings Preview</w:t>
      </w:r>
    </w:p>
    <w:p>
      <w:pPr>
        <w:pStyle w:val="BodyText"/>
      </w:pPr>
      <w:r>
        <w:rPr>
          <w:b/>
          <w:bCs/>
        </w:rPr>
        <w:t xml:space="preserve">Report date:</w:t>
      </w:r>
      <w:r>
        <w:t xml:space="preserve"> </w:t>
      </w:r>
      <w:r>
        <w:t xml:space="preserve">Tuesday, August 4, 2026, before market open |</w:t>
      </w:r>
      <w:r>
        <w:t xml:space="preserve"> </w:t>
      </w:r>
      <w:r>
        <w:rPr>
          <w:b/>
          <w:bCs/>
        </w:rPr>
        <w:t xml:space="preserve">Call:</w:t>
      </w:r>
      <w:r>
        <w:t xml:space="preserve"> </w:t>
      </w:r>
      <w:r>
        <w:t xml:space="preserve">8:30 a.m. ET</w:t>
      </w:r>
      <w:r>
        <w:t xml:space="preserve"> </w:t>
      </w:r>
      <w:r>
        <w:rPr>
          <w:b/>
          <w:bCs/>
        </w:rPr>
        <w:t xml:space="preserve">Last close (8/3/26):</w:t>
      </w:r>
      <w:r>
        <w:t xml:space="preserve"> </w:t>
      </w:r>
      <m:oMath>
        <m:r>
          <m:t>65.17</m:t>
        </m:r>
        <m:r>
          <m:rPr>
            <m:sty m:val="p"/>
          </m:rPr>
          <m:t>|</m:t>
        </m:r>
        <m:r>
          <m:rPr>
            <m:sty m:val="p"/>
          </m:rPr>
          <m:t>*</m:t>
        </m:r>
        <m:r>
          <m:rPr>
            <m:sty m:val="p"/>
          </m:rPr>
          <m:t>*</m:t>
        </m:r>
        <m:r>
          <m:t>G</m:t>
        </m:r>
        <m:r>
          <m:t>l</m:t>
        </m:r>
        <m:r>
          <m:t>o</m:t>
        </m:r>
        <m:r>
          <m:t>b</m:t>
        </m:r>
        <m:r>
          <m:t>a</m:t>
        </m:r>
        <m:r>
          <m:t>l</m:t>
        </m:r>
        <m:r>
          <m:t>l</m:t>
        </m:r>
        <m:r>
          <m:t>e</m:t>
        </m:r>
        <m:r>
          <m:t>a</m:t>
        </m:r>
        <m:r>
          <m:t>d</m:t>
        </m:r>
        <m:r>
          <m:t>e</m:t>
        </m:r>
        <m:r>
          <m:t>r</m:t>
        </m:r>
        <m:r>
          <m:t>i</m:t>
        </m:r>
        <m:r>
          <m:t>n</m:t>
        </m:r>
        <m:r>
          <m:t>s</m:t>
        </m:r>
        <m:r>
          <m:t>u</m:t>
        </m:r>
        <m:r>
          <m:t>s</m:t>
        </m:r>
        <m:r>
          <m:t>t</m:t>
        </m:r>
        <m:r>
          <m:t>a</m:t>
        </m:r>
        <m:r>
          <m:t>i</m:t>
        </m:r>
        <m:r>
          <m:t>n</m:t>
        </m:r>
        <m:r>
          <m:t>a</m:t>
        </m:r>
        <m:r>
          <m:t>b</m:t>
        </m:r>
        <m:r>
          <m:t>l</m:t>
        </m:r>
        <m:r>
          <m:t>e</m:t>
        </m:r>
        <m:r>
          <m:t>a</m:t>
        </m:r>
        <m:r>
          <m:t>l</m:t>
        </m:r>
        <m:r>
          <m:t>u</m:t>
        </m:r>
        <m:r>
          <m:t>m</m:t>
        </m:r>
        <m:r>
          <m:t>i</m:t>
        </m:r>
        <m:r>
          <m:t>n</m:t>
        </m:r>
        <m:r>
          <m:t>u</m:t>
        </m:r>
        <m:r>
          <m:t>m</m:t>
        </m:r>
        <m:r>
          <m:t>b</m:t>
        </m:r>
        <m:r>
          <m:t>e</m:t>
        </m:r>
        <m:r>
          <m:t>v</m:t>
        </m:r>
        <m:r>
          <m:t>e</m:t>
        </m:r>
        <m:r>
          <m:t>r</m:t>
        </m:r>
        <m:r>
          <m:t>a</m:t>
        </m:r>
        <m:r>
          <m:t>g</m:t>
        </m:r>
        <m:r>
          <m:t>e</m:t>
        </m:r>
        <m:r>
          <m:t>p</m:t>
        </m:r>
        <m:r>
          <m:t>a</m:t>
        </m:r>
        <m:r>
          <m:t>c</m:t>
        </m:r>
        <m:r>
          <m:t>k</m:t>
        </m:r>
        <m:r>
          <m:t>a</m:t>
        </m:r>
        <m:r>
          <m:t>g</m:t>
        </m:r>
        <m:r>
          <m:t>i</m:t>
        </m:r>
        <m:r>
          <m:t>n</m:t>
        </m:r>
        <m:r>
          <m:t>g</m:t>
        </m:r>
        <m:r>
          <m:rPr>
            <m:sty m:val="p"/>
          </m:rPr>
          <m:t>*</m:t>
        </m:r>
        <m:r>
          <m:rPr>
            <m:sty m:val="p"/>
          </m:rPr>
          <m:t>*</m:t>
        </m:r>
        <m:r>
          <m:rPr>
            <m:sty m:val="p"/>
          </m:rPr>
          <m:t>(</m:t>
        </m:r>
        <m:r>
          <m:t>2025</m:t>
        </m:r>
        <m:r>
          <m:t>s</m:t>
        </m:r>
        <m:r>
          <m:t>a</m:t>
        </m:r>
        <m:r>
          <m:t>l</m:t>
        </m:r>
        <m:r>
          <m:t>e</m:t>
        </m:r>
        <m:r>
          <m:t>s</m:t>
        </m:r>
        <m:r>
          <m:t> </m:t>
        </m:r>
      </m:oMath>
      <w:r>
        <w:t xml:space="preserve">13.16B, ~16,000 employees, 65+ plants)</w:t>
      </w:r>
    </w:p>
    <w:p>
      <w:r>
        <w:pict>
          <v:rect style="width:0;height:1.5pt" o:hralign="center" o:hrstd="t" o:hr="t"/>
        </w:pict>
      </w:r>
    </w:p>
    <w:bookmarkStart w:id="9" w:name="the-one-line-setup"/>
    <w:p>
      <w:pPr>
        <w:pStyle w:val="Heading2"/>
      </w:pPr>
      <w:r>
        <w:t xml:space="preserve">The One-Line Setup</w:t>
      </w:r>
    </w:p>
    <w:p>
      <w:pPr>
        <w:pStyle w:val="FirstParagraph"/>
      </w:pPr>
      <w:r>
        <w:t xml:space="preserve">Ball goes into Q2 with strong momentum — management said enterprise volumes were up</w:t>
      </w:r>
      <w:r>
        <w:t xml:space="preserve"> </w:t>
      </w:r>
      <w:r>
        <w:rPr>
          <w:b/>
          <w:bCs/>
        </w:rPr>
        <w:t xml:space="preserve">mid-single digits in April</w:t>
      </w:r>
      <w:r>
        <w:t xml:space="preserve"> </w:t>
      </w:r>
      <w:r>
        <w:t xml:space="preserve">exiting Q1, and the stock has re-rated ~24% off its late-2025 lows into the print. The key tension this quarter:</w:t>
      </w:r>
      <w:r>
        <w:t xml:space="preserve"> </w:t>
      </w:r>
      <w:r>
        <w:rPr>
          <w:b/>
          <w:bCs/>
        </w:rPr>
        <w:t xml:space="preserve">do accelerating volumes and continued profit-per-can gains outrun the first wave of Millersburg/end-domestication start-up costs</w:t>
      </w:r>
      <w:r>
        <w:t xml:space="preserve"> </w:t>
      </w:r>
      <w:r>
        <w:t xml:space="preserve">that begin hitting in Q2? Guidance framing (10%+ EPS growth) and the volume trajectory will matter more than the headline beat/miss.</w:t>
      </w:r>
    </w:p>
    <w:p>
      <w:r>
        <w:pict>
          <v:rect style="width:0;height:1.5pt" o:hralign="center" o:hrstd="t" o:hr="t"/>
        </w:pict>
      </w:r>
    </w:p>
    <w:bookmarkEnd w:id="9"/>
    <w:bookmarkStart w:id="10" w:name="X740103048d900764d6f7adfec4d07cd02a6602c"/>
    <w:p>
      <w:pPr>
        <w:pStyle w:val="Heading2"/>
      </w:pPr>
      <w:r>
        <w:t xml:space="preserve">What to Benchmark Against (Q2 2025 recast base)</w:t>
      </w:r>
    </w:p>
    <w:p>
      <w:pPr>
        <w:pStyle w:val="FirstParagraph"/>
      </w:pPr>
      <w:r>
        <w:t xml:space="preserve">Ball changed its segment structure and profitability definitions in Q1 2026, so use the</w:t>
      </w:r>
      <w:r>
        <w:t xml:space="preserve"> </w:t>
      </w:r>
      <w:r>
        <w:rPr>
          <w:b/>
          <w:bCs/>
        </w:rPr>
        <w:t xml:space="preserve">recast</w:t>
      </w:r>
      <w:r>
        <w:t xml:space="preserve"> </w:t>
      </w:r>
      <w:r>
        <w:t xml:space="preserve">2025 figures: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 (Q2 2025, recast)</w:t>
            </w:r>
          </w:p>
        </w:tc>
        <w:tc>
          <w:tcPr/>
          <w:p>
            <w:pPr>
              <w:pStyle w:val="Compact"/>
            </w:pPr>
            <w:r>
              <w:t xml:space="preserve">Value</w:t>
            </w:r>
          </w:p>
        </w:tc>
      </w:tr>
      <w:tr>
        <w:tc>
          <w:tcPr/>
          <w:p>
            <w:pPr>
              <w:pStyle w:val="Compact"/>
            </w:pPr>
            <w:r>
              <w:t xml:space="preserve">Comparable diluted EPS</w:t>
            </w:r>
          </w:p>
        </w:tc>
        <w:tc>
          <w:tcPr/>
          <w:p>
            <w:pPr>
              <w:pStyle w:val="Compact"/>
            </w:pPr>
            <w:r>
              <w:rPr>
                <w:b/>
                <w:bCs/>
              </w:rPr>
              <w:t xml:space="preserve">$0.90</w:t>
            </w:r>
          </w:p>
        </w:tc>
      </w:tr>
      <w:tr>
        <w:tc>
          <w:tcPr/>
          <w:p>
            <w:pPr>
              <w:pStyle w:val="Compact"/>
            </w:pPr>
            <w:r>
              <w:t xml:space="preserve">Comparable operating earnings</w:t>
            </w:r>
          </w:p>
        </w:tc>
        <w:tc>
          <w:tcPr/>
          <w:p>
            <w:pPr>
              <w:pStyle w:val="Compact"/>
            </w:pPr>
            <w:r>
              <w:rPr>
                <w:b/>
                <w:bCs/>
              </w:rPr>
              <w:t xml:space="preserve">$402M</w:t>
            </w:r>
          </w:p>
        </w:tc>
      </w:tr>
      <w:tr>
        <w:tc>
          <w:tcPr/>
          <w:p>
            <w:pPr>
              <w:pStyle w:val="Compact"/>
            </w:pPr>
            <w:r>
              <w:t xml:space="preserve">Net sales</w:t>
            </w:r>
          </w:p>
        </w:tc>
        <w:tc>
          <w:tcPr/>
          <w:p>
            <w:pPr>
              <w:pStyle w:val="Compact"/>
            </w:pPr>
            <w:r>
              <w:t xml:space="preserve">$3.34B</w:t>
            </w:r>
          </w:p>
        </w:tc>
      </w:tr>
      <w:tr>
        <w:tc>
          <w:tcPr/>
          <w:p>
            <w:pPr>
              <w:pStyle w:val="Compact"/>
            </w:pPr>
            <w:r>
              <w:t xml:space="preserve">NCA segment op. earnings</w:t>
            </w:r>
          </w:p>
        </w:tc>
        <w:tc>
          <w:tcPr/>
          <w:p>
            <w:pPr>
              <w:pStyle w:val="Compact"/>
            </w:pPr>
            <w:r>
              <w:t xml:space="preserve">$212M</w:t>
            </w:r>
          </w:p>
        </w:tc>
      </w:tr>
      <w:tr>
        <w:tc>
          <w:tcPr/>
          <w:p>
            <w:pPr>
              <w:pStyle w:val="Compact"/>
            </w:pPr>
            <w:r>
              <w:t xml:space="preserve">EMEA segment op. earnings</w:t>
            </w:r>
          </w:p>
        </w:tc>
        <w:tc>
          <w:tcPr/>
          <w:p>
            <w:pPr>
              <w:pStyle w:val="Compact"/>
            </w:pPr>
            <w:r>
              <w:t xml:space="preserve">$152M</w:t>
            </w:r>
          </w:p>
        </w:tc>
      </w:tr>
      <w:tr>
        <w:tc>
          <w:tcPr/>
          <w:p>
            <w:pPr>
              <w:pStyle w:val="Compact"/>
            </w:pPr>
            <w:r>
              <w:t xml:space="preserve">South America op. earnings</w:t>
            </w:r>
          </w:p>
        </w:tc>
        <w:tc>
          <w:tcPr/>
          <w:p>
            <w:pPr>
              <w:pStyle w:val="Compact"/>
            </w:pPr>
            <w:r>
              <w:t xml:space="preserve">$50M</w:t>
            </w:r>
          </w:p>
        </w:tc>
      </w:tr>
    </w:tbl>
    <w:p>
      <w:pPr>
        <w:pStyle w:val="BodyText"/>
      </w:pPr>
      <w:r>
        <w:rPr>
          <w:b/>
          <w:bCs/>
        </w:rPr>
        <w:t xml:space="preserve">Implied bar:</w:t>
      </w:r>
      <w:r>
        <w:t xml:space="preserve"> </w:t>
      </w:r>
      <w:r>
        <w:t xml:space="preserve">Management reaffirmed its algorithm of</w:t>
      </w:r>
      <w:r>
        <w:t xml:space="preserve"> </w:t>
      </w:r>
      <w:r>
        <w:rPr>
          <w:b/>
          <w:bCs/>
        </w:rPr>
        <w:t xml:space="preserve">10%+ comparable EPS growth</w:t>
      </w:r>
      <w:r>
        <w:t xml:space="preserve"> </w:t>
      </w:r>
      <w:r>
        <w:t xml:space="preserve">for full-year 2026. Applied to the</w:t>
      </w:r>
      <w:r>
        <w:t xml:space="preserve"> </w:t>
      </w:r>
      <m:oMath>
        <m:r>
          <m:t>0.90</m:t>
        </m:r>
        <m:r>
          <m:t>b</m:t>
        </m:r>
        <m:r>
          <m:t>a</m:t>
        </m:r>
        <m:r>
          <m:t>s</m:t>
        </m:r>
        <m:r>
          <m:t>e</m:t>
        </m:r>
        <m:r>
          <m:rPr>
            <m:sty m:val="p"/>
          </m:rPr>
          <m:t>,</m:t>
        </m:r>
        <m:r>
          <m:t>t</m:t>
        </m:r>
        <m:r>
          <m:t>h</m:t>
        </m:r>
        <m:r>
          <m:t>a</m:t>
        </m:r>
        <m:r>
          <m:t>t</m:t>
        </m:r>
        <m:r>
          <m:t>p</m:t>
        </m:r>
        <m:r>
          <m:t>o</m:t>
        </m:r>
        <m:r>
          <m:t>i</m:t>
        </m:r>
        <m:r>
          <m:t>n</m:t>
        </m:r>
        <m:r>
          <m:t>t</m:t>
        </m:r>
        <m:r>
          <m:t>s</m:t>
        </m:r>
        <m:r>
          <m:t>t</m:t>
        </m:r>
        <m:r>
          <m:t>o</m:t>
        </m:r>
        <m:r>
          <m:t>r</m:t>
        </m:r>
        <m:r>
          <m:t>o</m:t>
        </m:r>
        <m:r>
          <m:t>u</m:t>
        </m:r>
        <m:r>
          <m:t>g</m:t>
        </m:r>
        <m:r>
          <m:t>h</m:t>
        </m:r>
        <m:r>
          <m:t>l</m:t>
        </m:r>
        <m:r>
          <m:t>y</m:t>
        </m:r>
        <m:r>
          <m:rPr>
            <m:sty m:val="p"/>
          </m:rPr>
          <m:t>*</m:t>
        </m:r>
        <m:r>
          <m:rPr>
            <m:sty m:val="p"/>
          </m:rPr>
          <m:t>*</m:t>
        </m:r>
      </m:oMath>
      <w:r>
        <w:t xml:space="preserve">0.99–</w:t>
      </w:r>
      <m:oMath>
        <m:r>
          <m:t>1.00</m:t>
        </m:r>
        <m:r>
          <m:rPr>
            <m:sty m:val="p"/>
          </m:rPr>
          <m:t>+</m:t>
        </m:r>
        <m:r>
          <m:rPr>
            <m:sty m:val="p"/>
          </m:rPr>
          <m:t>*</m:t>
        </m:r>
        <m:r>
          <m:rPr>
            <m:sty m:val="p"/>
          </m:rPr>
          <m:t>*</m:t>
        </m:r>
        <m:r>
          <m:t>f</m:t>
        </m:r>
        <m:r>
          <m:t>o</m:t>
        </m:r>
        <m:r>
          <m:t>r</m:t>
        </m:r>
        <m:r>
          <m:t>Q</m:t>
        </m:r>
        <m:r>
          <m:t>2</m:t>
        </m:r>
        <m:r>
          <m:rPr>
            <m:sty m:val="p"/>
          </m:rPr>
          <m:t>.</m:t>
        </m:r>
        <m:r>
          <m:t>F</m:t>
        </m:r>
        <m:r>
          <m:t>o</m:t>
        </m:r>
        <m:r>
          <m:t>r</m:t>
        </m:r>
        <m:r>
          <m:t>r</m:t>
        </m:r>
        <m:r>
          <m:t>e</m:t>
        </m:r>
        <m:r>
          <m:t>f</m:t>
        </m:r>
        <m:r>
          <m:t>e</m:t>
        </m:r>
        <m:r>
          <m:t>r</m:t>
        </m:r>
        <m:r>
          <m:t>e</m:t>
        </m:r>
        <m:r>
          <m:t>n</m:t>
        </m:r>
        <m:r>
          <m:t>c</m:t>
        </m:r>
        <m:r>
          <m:t>e</m:t>
        </m:r>
        <m:r>
          <m:rPr>
            <m:sty m:val="p"/>
          </m:rPr>
          <m:t>,</m:t>
        </m:r>
        <m:r>
          <m:t>Q</m:t>
        </m:r>
        <m:r>
          <m:t>1</m:t>
        </m:r>
        <m:r>
          <m:t>2026</m:t>
        </m:r>
        <m:r>
          <m:t>c</m:t>
        </m:r>
        <m:r>
          <m:t>a</m:t>
        </m:r>
        <m:r>
          <m:t>m</m:t>
        </m:r>
        <m:r>
          <m:t>e</m:t>
        </m:r>
        <m:r>
          <m:t>i</m:t>
        </m:r>
        <m:r>
          <m:t>n</m:t>
        </m:r>
        <m:r>
          <m:t>a</m:t>
        </m:r>
        <m:r>
          <m:t>t</m:t>
        </m:r>
        <m:r>
          <m:rPr>
            <m:sty m:val="p"/>
          </m:rPr>
          <m:t>*</m:t>
        </m:r>
        <m:r>
          <m:rPr>
            <m:sty m:val="p"/>
          </m:rPr>
          <m:t>*</m:t>
        </m:r>
      </m:oMath>
      <w:r>
        <w:t xml:space="preserve">0.94, up 22% YoY** — well ahead of the algorithm — so the market has been trained to expect out-performance and strong operating leverage.</w:t>
      </w:r>
    </w:p>
    <w:p>
      <w:r>
        <w:pict>
          <v:rect style="width:0;height:1.5pt" o:hralign="center" o:hrstd="t" o:hr="t"/>
        </w:pict>
      </w:r>
    </w:p>
    <w:bookmarkEnd w:id="10"/>
    <w:bookmarkStart w:id="17" w:name="key-things-to-watch"/>
    <w:p>
      <w:pPr>
        <w:pStyle w:val="Heading2"/>
      </w:pPr>
      <w:r>
        <w:t xml:space="preserve">Key Things to Watch</w:t>
      </w:r>
    </w:p>
    <w:bookmarkStart w:id="11" w:name="X8a4bcab35b848096f3b696d5cb36f727d589bf1"/>
    <w:p>
      <w:pPr>
        <w:pStyle w:val="Heading3"/>
      </w:pPr>
      <w:r>
        <w:t xml:space="preserve">1. Volume acceleration (the swing factor)</w:t>
      </w:r>
    </w:p>
    <w:p>
      <w:pPr>
        <w:pStyle w:val="Compact"/>
        <w:numPr>
          <w:ilvl w:val="0"/>
          <w:numId w:val="1001"/>
        </w:numPr>
      </w:pPr>
      <w:r>
        <w:t xml:space="preserve">Q1 global volumes were only up ~0.8%, but management flagged</w:t>
      </w:r>
      <w:r>
        <w:t xml:space="preserve"> </w:t>
      </w:r>
      <w:r>
        <w:rPr>
          <w:b/>
          <w:bCs/>
        </w:rPr>
        <w:t xml:space="preserve">April enterprise volume up mid-single digits</w:t>
      </w:r>
      <w:r>
        <w:t xml:space="preserve">, with</w:t>
      </w:r>
      <w:r>
        <w:t xml:space="preserve"> </w:t>
      </w:r>
      <w:r>
        <w:rPr>
          <w:b/>
          <w:bCs/>
        </w:rPr>
        <w:t xml:space="preserve">South America up ~20% YoY in April</w:t>
      </w:r>
      <w:r>
        <w:t xml:space="preserve">, erasing the Q1 mid-single-digit SA decline (which was a Q4-pull-forward/inventory + weak peak-season weather issue).</w:t>
      </w:r>
    </w:p>
    <w:p>
      <w:pPr>
        <w:pStyle w:val="Compact"/>
        <w:numPr>
          <w:ilvl w:val="0"/>
          <w:numId w:val="1001"/>
        </w:numPr>
      </w:pPr>
      <w:r>
        <w:t xml:space="preserve">FY guide: enterprise volume toward the</w:t>
      </w:r>
      <w:r>
        <w:t xml:space="preserve"> </w:t>
      </w:r>
      <w:r>
        <w:rPr>
          <w:b/>
          <w:bCs/>
        </w:rPr>
        <w:t xml:space="preserve">top of the 2–3% range</w:t>
      </w:r>
      <w:r>
        <w:t xml:space="preserve">; NCA at the</w:t>
      </w:r>
      <w:r>
        <w:t xml:space="preserve"> </w:t>
      </w:r>
      <w:r>
        <w:rPr>
          <w:b/>
          <w:bCs/>
        </w:rPr>
        <w:t xml:space="preserve">low end of 1–3%</w:t>
      </w:r>
      <w:r>
        <w:t xml:space="preserve"> </w:t>
      </w:r>
      <w:r>
        <w:t xml:space="preserve">(capacity-constrained); EMEA</w:t>
      </w:r>
      <w:r>
        <w:t xml:space="preserve"> </w:t>
      </w:r>
      <w:r>
        <w:rPr>
          <w:b/>
          <w:bCs/>
        </w:rPr>
        <w:t xml:space="preserve">above the 3–5% range</w:t>
      </w:r>
      <w:r>
        <w:t xml:space="preserve"> </w:t>
      </w:r>
      <w:r>
        <w:t xml:space="preserve">(helped by Benepack); SA</w:t>
      </w:r>
      <w:r>
        <w:t xml:space="preserve"> </w:t>
      </w:r>
      <w:r>
        <w:rPr>
          <w:b/>
          <w:bCs/>
        </w:rPr>
        <w:t xml:space="preserve">4–6%</w:t>
      </w:r>
      <w:r>
        <w:t xml:space="preserve">.</w:t>
      </w:r>
    </w:p>
    <w:p>
      <w:pPr>
        <w:pStyle w:val="Compact"/>
        <w:numPr>
          <w:ilvl w:val="0"/>
          <w:numId w:val="1001"/>
        </w:numPr>
      </w:pPr>
      <w:r>
        <w:rPr>
          <w:b/>
          <w:bCs/>
        </w:rPr>
        <w:t xml:space="preserve">Watch:</w:t>
      </w:r>
      <w:r>
        <w:t xml:space="preserve"> </w:t>
      </w:r>
      <w:r>
        <w:t xml:space="preserve">confirmation that Q2 volumes actually delivered the promised acceleration, especially the SA recovery and North American energy-drink/non-alc strength.</w:t>
      </w:r>
    </w:p>
    <w:bookmarkEnd w:id="11"/>
    <w:bookmarkStart w:id="12" w:name="Xdec100375b9b168793a9beb9dd82d03c2cb5ede"/>
    <w:p>
      <w:pPr>
        <w:pStyle w:val="Heading3"/>
      </w:pPr>
      <w:r>
        <w:t xml:space="preserve">2. Millersburg &amp; end-domestication start-up costs — the near-term margin headwind</w:t>
      </w:r>
    </w:p>
    <w:p>
      <w:pPr>
        <w:pStyle w:val="Compact"/>
        <w:numPr>
          <w:ilvl w:val="0"/>
          <w:numId w:val="1002"/>
        </w:numPr>
      </w:pPr>
      <w:r>
        <w:t xml:space="preserve">Management guided to</w:t>
      </w:r>
      <w:r>
        <w:t xml:space="preserve"> </w:t>
      </w:r>
      <w:r>
        <w:rPr>
          <w:b/>
          <w:bCs/>
        </w:rPr>
        <w:t xml:space="preserve">~$35M of start-up costs</w:t>
      </w:r>
      <w:r>
        <w:t xml:space="preserve"> </w:t>
      </w:r>
      <w:r>
        <w:t xml:space="preserve">for the Millersburg, OR plant and U.S. domestication of ends, explicitly noting these hit</w:t>
      </w:r>
      <w:r>
        <w:t xml:space="preserve"> </w:t>
      </w:r>
      <w:r>
        <w:rPr>
          <w:b/>
          <w:bCs/>
        </w:rPr>
        <w:t xml:space="preserve">"later in [Q2] and heavily in the third quarter."</w:t>
      </w:r>
    </w:p>
    <w:p>
      <w:pPr>
        <w:pStyle w:val="Compact"/>
        <w:numPr>
          <w:ilvl w:val="0"/>
          <w:numId w:val="1002"/>
        </w:numPr>
      </w:pPr>
      <w:r>
        <w:t xml:space="preserve">This will</w:t>
      </w:r>
      <w:r>
        <w:t xml:space="preserve"> </w:t>
      </w:r>
      <w:r>
        <w:rPr>
          <w:b/>
          <w:bCs/>
        </w:rPr>
        <w:t xml:space="preserve">distort North America operating leverage</w:t>
      </w:r>
      <w:r>
        <w:t xml:space="preserve"> </w:t>
      </w:r>
      <w:r>
        <w:t xml:space="preserve">— management has pre-warned analysts to adjust for it. If NCA earnings look soft, decompose base vs. start-up drag. Millersburg (backed by a long-term customer offtake) ramps to full run in</w:t>
      </w:r>
      <w:r>
        <w:t xml:space="preserve"> </w:t>
      </w:r>
      <w:r>
        <w:rPr>
          <w:b/>
          <w:bCs/>
        </w:rPr>
        <w:t xml:space="preserve">2027</w:t>
      </w:r>
      <w:r>
        <w:t xml:space="preserve">.</w:t>
      </w:r>
    </w:p>
    <w:bookmarkEnd w:id="12"/>
    <w:bookmarkStart w:id="13" w:name="Xb2e9ed061fa651c043823703ecc3e1c8b16a56d"/>
    <w:p>
      <w:pPr>
        <w:pStyle w:val="Heading3"/>
      </w:pPr>
      <w:r>
        <w:t xml:space="preserve">3. Aluminum pass-through, Section 232 tariffs &amp; energy costs</w:t>
      </w:r>
    </w:p>
    <w:p>
      <w:pPr>
        <w:pStyle w:val="Compact"/>
        <w:numPr>
          <w:ilvl w:val="0"/>
          <w:numId w:val="1003"/>
        </w:numPr>
      </w:pPr>
      <w:r>
        <w:t xml:space="preserve">Aluminum cost is passed through</w:t>
      </w:r>
      <w:r>
        <w:t xml:space="preserve"> </w:t>
      </w:r>
      <w:r>
        <w:rPr>
          <w:b/>
          <w:bCs/>
        </w:rPr>
        <w:t xml:space="preserve">immediately/formulaically</w:t>
      </w:r>
      <w:r>
        <w:t xml:space="preserve">, so higher aluminum (elevated by Middle East disruption and Section 232) inflates revenue but is largely earnings-neutral — watch price/mix optics in the sales line.</w:t>
      </w:r>
    </w:p>
    <w:p>
      <w:pPr>
        <w:pStyle w:val="Compact"/>
        <w:numPr>
          <w:ilvl w:val="0"/>
          <w:numId w:val="1003"/>
        </w:numPr>
      </w:pPr>
      <w:r>
        <w:t xml:space="preserve">The current macro backdrop is inflationary (oil &gt;$4/gal gas, elevated energy). Freight is largely customer-paid; energy is hedged to align with customer contracts.</w:t>
      </w:r>
      <w:r>
        <w:t xml:space="preserve"> </w:t>
      </w:r>
      <w:r>
        <w:rPr>
          <w:b/>
          <w:bCs/>
        </w:rPr>
        <w:t xml:space="preserve">Watch</w:t>
      </w:r>
      <w:r>
        <w:t xml:space="preserve"> </w:t>
      </w:r>
      <w:r>
        <w:t xml:space="preserve">for any commentary on cost lags that can't be recovered real-time and on the consumer.</w:t>
      </w:r>
    </w:p>
    <w:bookmarkEnd w:id="13"/>
    <w:bookmarkStart w:id="14" w:name="X1407fe7c84d593a7c42a72bdda9f19d2c77f338"/>
    <w:p>
      <w:pPr>
        <w:pStyle w:val="Heading3"/>
      </w:pPr>
      <w:r>
        <w:t xml:space="preserve">4. Profit-per-can &amp; EMEA operating leverage</w:t>
      </w:r>
    </w:p>
    <w:p>
      <w:pPr>
        <w:pStyle w:val="Compact"/>
        <w:numPr>
          <w:ilvl w:val="0"/>
          <w:numId w:val="1004"/>
        </w:numPr>
      </w:pPr>
      <w:r>
        <w:t xml:space="preserve">New CEO/CFO (Ron Lewis / Dan Rabbitt) have made</w:t>
      </w:r>
      <w:r>
        <w:t xml:space="preserve"> </w:t>
      </w:r>
      <w:r>
        <w:rPr>
          <w:b/>
          <w:bCs/>
        </w:rPr>
        <w:t xml:space="preserve">operating earnings per can</w:t>
      </w:r>
      <w:r>
        <w:t xml:space="preserve"> </w:t>
      </w:r>
      <w:r>
        <w:t xml:space="preserve">the north-star metric. EMEA was called out as having the</w:t>
      </w:r>
      <w:r>
        <w:t xml:space="preserve"> </w:t>
      </w:r>
      <w:r>
        <w:rPr>
          <w:b/>
          <w:bCs/>
        </w:rPr>
        <w:t xml:space="preserve">most runway</w:t>
      </w:r>
      <w:r>
        <w:t xml:space="preserve"> </w:t>
      </w:r>
      <w:r>
        <w:t xml:space="preserve">(lowest profit-per-can) and delivered</w:t>
      </w:r>
      <w:r>
        <w:t xml:space="preserve"> </w:t>
      </w:r>
      <w:r>
        <w:rPr>
          <w:b/>
          <w:bCs/>
        </w:rPr>
        <w:t xml:space="preserve">+20% op. earnings in Q1</w:t>
      </w:r>
      <w:r>
        <w:t xml:space="preserve"> </w:t>
      </w:r>
      <w:r>
        <w:t xml:space="preserve">(partly FX). Benepack (Belgium + Hungary) integration and India (high-teens growth) are the EMEA growth engines.</w:t>
      </w:r>
    </w:p>
    <w:p>
      <w:pPr>
        <w:pStyle w:val="Compact"/>
        <w:numPr>
          <w:ilvl w:val="0"/>
          <w:numId w:val="1004"/>
        </w:numPr>
      </w:pPr>
      <w:r>
        <w:rPr>
          <w:b/>
          <w:bCs/>
        </w:rPr>
        <w:t xml:space="preserve">Watch:</w:t>
      </w:r>
      <w:r>
        <w:t xml:space="preserve"> </w:t>
      </w:r>
      <w:r>
        <w:t xml:space="preserve">whether EMEA sustains 2x+ operating leverage and how much is FX (euro) vs. underlying.</w:t>
      </w:r>
    </w:p>
    <w:bookmarkEnd w:id="14"/>
    <w:bookmarkStart w:id="15" w:name="X57309a0ca80192e5fb07c45f2cc65330a632331"/>
    <w:p>
      <w:pPr>
        <w:pStyle w:val="Heading3"/>
      </w:pPr>
      <w:r>
        <w:t xml:space="preserve">5. FX tailwind</w:t>
      </w:r>
    </w:p>
    <w:p>
      <w:pPr>
        <w:pStyle w:val="Compact"/>
        <w:numPr>
          <w:ilvl w:val="0"/>
          <w:numId w:val="1005"/>
        </w:numPr>
      </w:pPr>
      <w:r>
        <w:t xml:space="preserve">The euro is materially stronger YoY; Q1 had ~$15M of positive translation. FX gains now sit in corporate/undistributed, not the segments. Could be a modest tailwind again.</w:t>
      </w:r>
    </w:p>
    <w:bookmarkEnd w:id="15"/>
    <w:bookmarkStart w:id="16" w:name="X44960ce00b3b5ab6048d35eb223af33fcc3e0ac"/>
    <w:p>
      <w:pPr>
        <w:pStyle w:val="Heading3"/>
      </w:pPr>
      <w:r>
        <w:t xml:space="preserve">6. Capital returns &amp; balance sheet</w:t>
      </w:r>
    </w:p>
    <w:p>
      <w:pPr>
        <w:pStyle w:val="Compact"/>
        <w:numPr>
          <w:ilvl w:val="0"/>
          <w:numId w:val="1006"/>
        </w:numPr>
      </w:pPr>
      <w:r>
        <w:t xml:space="preserve">On track to return **~</w:t>
      </w:r>
      <m:oMath>
        <m:r>
          <m:t>800</m:t>
        </m:r>
        <m:r>
          <m:t>M</m:t>
        </m:r>
        <m:r>
          <m:t>t</m:t>
        </m:r>
        <m:r>
          <m:t>o</m:t>
        </m:r>
        <m:r>
          <m:t>s</m:t>
        </m:r>
        <m:r>
          <m:t>h</m:t>
        </m:r>
        <m:r>
          <m:t>a</m:t>
        </m:r>
        <m:r>
          <m:t>r</m:t>
        </m:r>
        <m:r>
          <m:t>e</m:t>
        </m:r>
        <m:r>
          <m:t>h</m:t>
        </m:r>
        <m:r>
          <m:t>o</m:t>
        </m:r>
        <m:r>
          <m:t>l</m:t>
        </m:r>
        <m:r>
          <m:t>d</m:t>
        </m:r>
        <m:r>
          <m:t>e</m:t>
        </m:r>
        <m:r>
          <m:t>r</m:t>
        </m:r>
        <m:r>
          <m:t>s</m:t>
        </m:r>
        <m:r>
          <m:t>i</m:t>
        </m:r>
        <m:r>
          <m:t>n</m:t>
        </m:r>
        <m:r>
          <m:t>2026</m:t>
        </m:r>
        <m:r>
          <m:rPr>
            <m:sty m:val="p"/>
          </m:rPr>
          <m:t>*</m:t>
        </m:r>
        <m:r>
          <m:rPr>
            <m:sty m:val="p"/>
          </m:rPr>
          <m:t>*</m:t>
        </m:r>
        <m:r>
          <m:rPr>
            <m:sty m:val="p"/>
          </m:rPr>
          <m:t>(</m:t>
        </m:r>
        <m:r>
          <m:rPr>
            <m:sty m:val="p"/>
          </m:rPr>
          <m:t>≥</m:t>
        </m:r>
      </m:oMath>
      <w:r>
        <w:t xml:space="preserve">600M buybacks + dividends). Share count is down meaningfully YoY (diluted ~267M vs. ~285M), a real EPS lever.</w:t>
      </w:r>
    </w:p>
    <w:p>
      <w:pPr>
        <w:pStyle w:val="Compact"/>
        <w:numPr>
          <w:ilvl w:val="0"/>
          <w:numId w:val="1006"/>
        </w:numPr>
      </w:pPr>
      <w:r>
        <w:t xml:space="preserve">FY targets: **FCF &gt;</w:t>
      </w:r>
      <w:r>
        <w:t xml:space="preserve">$900M**, capex ≈ D&amp;A, interest expense ~$</w:t>
      </w:r>
      <w:r>
        <w:t xml:space="preserve">320M, tax rate ~23%,</w:t>
      </w:r>
      <w:r>
        <w:t xml:space="preserve"> </w:t>
      </w:r>
      <w:r>
        <w:rPr>
          <w:b/>
          <w:bCs/>
        </w:rPr>
        <w:t xml:space="preserve">year-end net debt/EBITDA ~2.7x</w:t>
      </w:r>
      <w:r>
        <w:t xml:space="preserve">. Note Q1 leverage optically spiked to 3.39x on seasonal working-capital build (Q1 FCF is typically deeply negative) — don't over-read the Q2 balance sheet on the same basis.</w:t>
      </w:r>
    </w:p>
    <w:p>
      <w:r>
        <w:pict>
          <v:rect style="width:0;height:1.5pt" o:hralign="center" o:hrstd="t" o:hr="t"/>
        </w:pict>
      </w:r>
    </w:p>
    <w:bookmarkEnd w:id="16"/>
    <w:bookmarkEnd w:id="17"/>
    <w:bookmarkStart w:id="18" w:name="Xe18bf799c14fac806c39fda172546e96f3acf6c"/>
    <w:p>
      <w:pPr>
        <w:pStyle w:val="Heading2"/>
      </w:pPr>
      <w:r>
        <w:t xml:space="preserve">Contract / Demand Durability (bull thesis anchor)</w:t>
      </w:r>
    </w:p>
    <w:p>
      <w:pPr>
        <w:pStyle w:val="FirstParagraph"/>
      </w:pPr>
      <w:r>
        <w:t xml:space="preserve">Management reiterated the portfolio is</w:t>
      </w:r>
      <w:r>
        <w:t xml:space="preserve"> </w:t>
      </w:r>
      <w:r>
        <w:rPr>
          <w:b/>
          <w:bCs/>
        </w:rPr>
        <w:t xml:space="preserve">sold out for 2026, &gt;90% sold for 2027, and ~50% sold through the end of the decade</w:t>
      </w:r>
      <w:r>
        <w:t xml:space="preserve">, with tight utilization (mid-to-high 90s%). The "can is winning" share-gain narrative across all regions underpins the multi-year story, and new capacity (Millersburg now, potential East Coast/North Carolina plant later in the decade) is only built against long-term customer offtakes.</w:t>
      </w:r>
    </w:p>
    <w:p>
      <w:r>
        <w:pict>
          <v:rect style="width:0;height:1.5pt" o:hralign="center" o:hrstd="t" o:hr="t"/>
        </w:pict>
      </w:r>
    </w:p>
    <w:bookmarkEnd w:id="18"/>
    <w:bookmarkStart w:id="19" w:name="stock-context"/>
    <w:p>
      <w:pPr>
        <w:pStyle w:val="Heading2"/>
      </w:pPr>
      <w:r>
        <w:t xml:space="preserve">Stock Context</w:t>
      </w:r>
    </w:p>
    <w:p>
      <w:pPr>
        <w:pStyle w:val="Compact"/>
        <w:numPr>
          <w:ilvl w:val="0"/>
          <w:numId w:val="1007"/>
        </w:numPr>
      </w:pPr>
      <w:r>
        <w:t xml:space="preserve">BALL has recovered sharply: from ~</w:t>
      </w:r>
      <m:oMath>
        <m:r>
          <m:t>47</m:t>
        </m:r>
        <m:r>
          <m:rPr>
            <m:sty m:val="p"/>
          </m:rPr>
          <m:t>(</m:t>
        </m:r>
        <m:r>
          <m:t>N</m:t>
        </m:r>
        <m:r>
          <m:t>o</m:t>
        </m:r>
        <m:r>
          <m:t>v</m:t>
        </m:r>
        <m:r>
          <m:t>2025</m:t>
        </m:r>
        <m:r>
          <m:rPr>
            <m:sty m:val="p"/>
          </m:rPr>
          <m:t>)</m:t>
        </m:r>
        <m:r>
          <m:t>a</m:t>
        </m:r>
        <m:r>
          <m:t>n</m:t>
        </m:r>
        <m:r>
          <m:t>d</m:t>
        </m:r>
        <m:r>
          <m:t>a</m:t>
        </m:r>
        <m:r>
          <m:t>J</m:t>
        </m:r>
        <m:r>
          <m:t>u</m:t>
        </m:r>
        <m:r>
          <m:t>n</m:t>
        </m:r>
        <m:r>
          <m:t>e</m:t>
        </m:r>
        <m:r>
          <m:t>2026</m:t>
        </m:r>
        <m:r>
          <m:t>d</m:t>
        </m:r>
        <m:r>
          <m:t>i</m:t>
        </m:r>
        <m:r>
          <m:t>p</m:t>
        </m:r>
        <m:r>
          <m:t>t</m:t>
        </m:r>
        <m:r>
          <m:t>o</m:t>
        </m:r>
        <m:r>
          <m:t> </m:t>
        </m:r>
      </m:oMath>
      <w:r>
        <w:t xml:space="preserve">52, back to **~</w:t>
      </w:r>
      <m:oMath>
        <m:r>
          <m:t>65</m:t>
        </m:r>
        <m:r>
          <m:rPr>
            <m:sty m:val="p"/>
          </m:rPr>
          <m:t>*</m:t>
        </m:r>
        <m:r>
          <m:rPr>
            <m:sty m:val="p"/>
          </m:rPr>
          <m:t>*</m:t>
        </m:r>
        <m:r>
          <m:rPr>
            <m:sty m:val="p"/>
          </m:rPr>
          <m:t>,</m:t>
        </m:r>
        <m:r>
          <m:t>a</m:t>
        </m:r>
        <m:r>
          <m:t>n</m:t>
        </m:r>
        <m:r>
          <m:t>d</m:t>
        </m:r>
        <m:r>
          <m:t>u</m:t>
        </m:r>
        <m:r>
          <m:t>p</m:t>
        </m:r>
        <m:r>
          <m:t>f</m:t>
        </m:r>
        <m:r>
          <m:t>r</m:t>
        </m:r>
        <m:r>
          <m:t>o</m:t>
        </m:r>
        <m:r>
          <m:t>m</m:t>
        </m:r>
        <m:r>
          <m:t> </m:t>
        </m:r>
      </m:oMath>
      <w:r>
        <w:t xml:space="preserve">57 a year ago. Shares gapped up on the Feb 2026 Q4 print and have re-rated on the improved execution/margin story under new management.</w:t>
      </w:r>
    </w:p>
    <w:p>
      <w:pPr>
        <w:pStyle w:val="Compact"/>
        <w:numPr>
          <w:ilvl w:val="0"/>
          <w:numId w:val="1007"/>
        </w:numPr>
      </w:pPr>
      <w:r>
        <w:t xml:space="preserve">Into the print, the stock ran from ~</w:t>
      </w:r>
      <m:oMath>
        <m:r>
          <m:t>61.75</m:t>
        </m:r>
        <m:r>
          <m:rPr>
            <m:sty m:val="p"/>
          </m:rPr>
          <m:t>(</m:t>
        </m:r>
        <m:r>
          <m:t>J</m:t>
        </m:r>
        <m:r>
          <m:t>u</m:t>
        </m:r>
        <m:r>
          <m:t>l</m:t>
        </m:r>
        <m:r>
          <m:t>y</m:t>
        </m:r>
        <m:r>
          <m:t>1</m:t>
        </m:r>
        <m:r>
          <m:rPr>
            <m:sty m:val="p"/>
          </m:rPr>
          <m:t>)</m:t>
        </m:r>
        <m:r>
          <m:t>t</m:t>
        </m:r>
        <m:r>
          <m:t>o</m:t>
        </m:r>
        <m:r>
          <m:t> </m:t>
        </m:r>
      </m:oMath>
      <w:r>
        <w:t xml:space="preserve">66.89 (July 28) before settling at $65.17 — so</w:t>
      </w:r>
      <w:r>
        <w:t xml:space="preserve"> </w:t>
      </w:r>
      <w:r>
        <w:rPr>
          <w:b/>
          <w:bCs/>
        </w:rPr>
        <w:t xml:space="preserve">expectations are elevated</w:t>
      </w:r>
      <w:r>
        <w:t xml:space="preserve">. A strong volume beat and reassurance on the Millersburg cost cadence would support the momentum; any volume disappointment or larger-than-flagged start-up drag could pressure a stock that has already priced in a good quarter.</w:t>
      </w:r>
    </w:p>
    <w:p>
      <w:r>
        <w:pict>
          <v:rect style="width:0;height:1.5pt" o:hralign="center" o:hrstd="t" o:hr="t"/>
        </w:pict>
      </w:r>
    </w:p>
    <w:bookmarkEnd w:id="19"/>
    <w:bookmarkStart w:id="20" w:name="bottom-line--what-would-move-the-stock"/>
    <w:p>
      <w:pPr>
        <w:pStyle w:val="Heading2"/>
      </w:pPr>
      <w:r>
        <w:t xml:space="preserve">Bottom Line — What Would Move the Stock</w:t>
      </w:r>
    </w:p>
    <w:p>
      <w:pPr>
        <w:pStyle w:val="Compact"/>
        <w:numPr>
          <w:ilvl w:val="0"/>
          <w:numId w:val="1008"/>
        </w:numPr>
      </w:pPr>
      <w:r>
        <w:rPr>
          <w:b/>
          <w:bCs/>
        </w:rPr>
        <w:t xml:space="preserve">Bullish:</w:t>
      </w:r>
      <w:r>
        <w:t xml:space="preserve"> </w:t>
      </w:r>
      <w:r>
        <w:t xml:space="preserve">Q2 EPS comfortably above the ~</w:t>
      </w:r>
      <m:oMath>
        <m:r>
          <m:t>0.99</m:t>
        </m:r>
        <m:r>
          <m:rPr>
            <m:sty m:val="p"/>
          </m:rPr>
          <m:t>–</m:t>
        </m:r>
      </m:oMath>
      <w:r>
        <w:t xml:space="preserve">1.00 algorithm bar; confirmation of mid-single-digit+ enterprise volume growth and the SA snap-back; EMEA profit-per-can progress; reaffirmed/raised FY 10%+ EPS and &gt;$900M FCF.</w:t>
      </w:r>
    </w:p>
    <w:p>
      <w:pPr>
        <w:pStyle w:val="Compact"/>
        <w:numPr>
          <w:ilvl w:val="0"/>
          <w:numId w:val="1008"/>
        </w:numPr>
      </w:pPr>
      <w:r>
        <w:rPr>
          <w:b/>
          <w:bCs/>
        </w:rPr>
        <w:t xml:space="preserve">Bearish/cautionary:</w:t>
      </w:r>
      <w:r>
        <w:t xml:space="preserve"> </w:t>
      </w:r>
      <w:r>
        <w:t xml:space="preserve">Volume momentum stalls; Millersburg/end costs bite harder or earlier than the $35M/back-half framing; consumer softness from inflation shows up in customer order patterns; any hint the year-end 2.7x leverage or $800M return target is at risk.</w:t>
      </w:r>
    </w:p>
    <w:p>
      <w:pPr>
        <w:pStyle w:val="FirstParagraph"/>
      </w:pPr>
      <w:r>
        <w:rPr>
          <w:i/>
          <w:iCs/>
        </w:rPr>
        <w:t xml:space="preserve">Note: figures above are drawn from Ball's Q1 2026 earnings release/call and 2025 recast disclosures; "implied" EPS is derived from the company's stated 10%+ growth algorithm applied to the recast Q2 2025 base, not a formal consensus estimate.</w:t>
      </w:r>
    </w:p>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2026-08-04T00:47:30Z</dcterms:created>
  <dcterms:modified xsi:type="dcterms:W3CDTF">2026-08-04T00:47:30Z</dcterms:modified>
</cp:coreProperties>
</file>

<file path=docProps/custom.xml><?xml version="1.0" encoding="utf-8"?>
<Properties xmlns="http://schemas.openxmlformats.org/officeDocument/2006/custom-properties" xmlns:vt="http://schemas.openxmlformats.org/officeDocument/2006/docPropsVTypes"/>
</file>