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692f30565174adc1ab8273941a257258abb9b17"/>
    <w:p>
      <w:pPr>
        <w:pStyle w:val="Heading1"/>
      </w:pPr>
      <w:r>
        <w:t xml:space="preserve">Ball Corporation (NYSE: BALL) — Q2 2026 Earnings Preview</w:t>
      </w:r>
    </w:p>
    <w:p>
      <w:pPr>
        <w:pStyle w:val="FirstParagraph"/>
      </w:pPr>
      <w:r>
        <w:rPr>
          <w:b/>
          <w:bCs/>
        </w:rPr>
        <w:t xml:space="preserve">Report Date:</w:t>
      </w:r>
      <w:r>
        <w:t xml:space="preserve"> </w:t>
      </w:r>
      <w:r>
        <w:t xml:space="preserve">Tuesday, August 4, 2026, before market open |</w:t>
      </w:r>
      <w:r>
        <w:t xml:space="preserve"> </w:t>
      </w:r>
      <w:r>
        <w:rPr>
          <w:b/>
          <w:bCs/>
        </w:rPr>
        <w:t xml:space="preserve">Call:</w:t>
      </w:r>
      <w:r>
        <w:t xml:space="preserve"> </w:t>
      </w:r>
      <w:r>
        <w:t xml:space="preserve">8:30 a.m. ET</w:t>
      </w:r>
    </w:p>
    <w:p>
      <w:r>
        <w:pict>
          <v:rect style="width:0;height:1.5pt" o:hralign="center" o:hrstd="t" o:hr="t"/>
        </w:pict>
      </w:r>
    </w:p>
    <w:bookmarkStart w:id="9" w:name="setup-into-the-quarter"/>
    <w:p>
      <w:pPr>
        <w:pStyle w:val="Heading2"/>
      </w:pPr>
      <w:r>
        <w:t xml:space="preserve">Setup Into the Quarter</w:t>
      </w:r>
    </w:p>
    <w:p>
      <w:pPr>
        <w:pStyle w:val="FirstParagraph"/>
      </w:pPr>
      <w:r>
        <w:t xml:space="preserve">BALL shares have had a volatile but ultimately strong run since the last print. Despite beating Q1 estimates on both lines, the stock actually</w:t>
      </w:r>
      <w:r>
        <w:t xml:space="preserve"> </w:t>
      </w:r>
      <w:r>
        <w:rPr>
          <w:b/>
          <w:bCs/>
        </w:rPr>
        <w:t xml:space="preserve">fell</w:t>
      </w:r>
      <w:r>
        <w:t xml:space="preserve"> </w:t>
      </w:r>
      <w:r>
        <w:t xml:space="preserve">on the May 5 report day (from ~</w:t>
      </w:r>
      <m:oMath>
        <m:r>
          <m:t>60.93</m:t>
        </m:r>
        <m:r>
          <m:t>t</m:t>
        </m:r>
        <m:r>
          <m:t>o</m:t>
        </m:r>
        <m:r>
          <m:t> </m:t>
        </m:r>
      </m:oMath>
      <w:r>
        <w:t xml:space="preserve">57.11, roughly -6%), likely reflecting investor confusion around a segment-reporting overhaul and lingering margin questions. Since bottoming near $52-53 in early June, the stock has rallied hard — trading around $65 as of August 3, near its highs for the period (a roughly 24% rebound off the June low). Sell-side sentiment is constructive heading into the print: the stock carries a consensus "Buy"/"Moderate Buy" rating with average price targets in the</w:t>
      </w:r>
      <w:r>
        <w:t xml:space="preserve"> </w:t>
      </w:r>
      <m:oMath>
        <m:r>
          <m:t>69</m:t>
        </m:r>
        <m:r>
          <m:rPr>
            <m:sty m:val="p"/>
          </m:rPr>
          <m:t>−</m:t>
        </m:r>
      </m:oMath>
      <w:r>
        <w:t xml:space="preserve">71 range, though at least one desk (UBS) has a more measured $65 target. The company also just held its dividend flat at $0.20/share (declared July 29, payable September 15), signaling no change to the steady-as-she-goes capital return cadence ahead of earnings.</w:t>
      </w:r>
    </w:p>
    <w:bookmarkEnd w:id="9"/>
    <w:bookmarkStart w:id="10" w:name="X223f82275284bcf981f24ae72d96762b39a7e0e"/>
    <w:p>
      <w:pPr>
        <w:pStyle w:val="Heading2"/>
      </w:pPr>
      <w:r>
        <w:t xml:space="preserve">What Happened Last Quarter (Q1 2026) — The Baseline</w:t>
      </w:r>
    </w:p>
    <w:p>
      <w:pPr>
        <w:pStyle w:val="FirstParagraph"/>
      </w:pPr>
      <w:r>
        <w:t xml:space="preserve">Ball's Q1 was a strong beat-and-reiterate quarter that set the tone for 2026:</w:t>
      </w:r>
    </w:p>
    <w:p>
      <w:pPr>
        <w:pStyle w:val="Compact"/>
        <w:numPr>
          <w:ilvl w:val="0"/>
          <w:numId w:val="1001"/>
        </w:numPr>
      </w:pPr>
      <w:r>
        <w:t xml:space="preserve">**Comparable diluted EPS of</w:t>
      </w:r>
      <w:r>
        <w:t xml:space="preserve"> </w:t>
      </w:r>
      <m:oMath>
        <m:r>
          <m:t>0.94</m:t>
        </m:r>
        <m:r>
          <m:rPr>
            <m:sty m:val="p"/>
          </m:rPr>
          <m:t>*</m:t>
        </m:r>
        <m:r>
          <m:rPr>
            <m:sty m:val="p"/>
          </m:rPr>
          <m:t>*</m:t>
        </m:r>
        <m:r>
          <m:rPr>
            <m:sty m:val="p"/>
          </m:rPr>
          <m:t>,</m:t>
        </m:r>
        <m:r>
          <m:t>u</m:t>
        </m:r>
        <m:r>
          <m:t>p</m:t>
        </m:r>
        <m:r>
          <m:t>22.1</m:t>
        </m:r>
      </m:oMath>
      <w:r>
        <w:t xml:space="preserve">0.85 consensus by double digits;</w:t>
      </w:r>
      <w:r>
        <w:t xml:space="preserve"> </w:t>
      </w:r>
      <w:r>
        <w:rPr>
          <w:b/>
          <w:bCs/>
        </w:rPr>
        <w:t xml:space="preserve">GAAP diluted EPS was $0.77</w:t>
      </w:r>
      <w:r>
        <w:t xml:space="preserve"> </w:t>
      </w:r>
      <w:r>
        <w:t xml:space="preserve">vs. $0.63 a year ago, on net sales of $3.60 billion.</w:t>
      </w:r>
    </w:p>
    <w:p>
      <w:pPr>
        <w:pStyle w:val="Compact"/>
        <w:numPr>
          <w:ilvl w:val="0"/>
          <w:numId w:val="1001"/>
        </w:numPr>
      </w:pPr>
      <w:r>
        <w:rPr>
          <w:b/>
          <w:bCs/>
        </w:rPr>
        <w:t xml:space="preserve">Comparable operating earnings grew 10% year-over-year to $387 million</w:t>
      </w:r>
      <w:r>
        <w:t xml:space="preserve">, which management highlighted as exceeding its "2x operating leverage" objective for the quarter, even though</w:t>
      </w:r>
      <w:r>
        <w:t xml:space="preserve"> </w:t>
      </w:r>
      <w:r>
        <w:rPr>
          <w:b/>
          <w:bCs/>
        </w:rPr>
        <w:t xml:space="preserve">global shipped volumes were up only ~1%</w:t>
      </w:r>
      <w:r>
        <w:t xml:space="preserve"> </w:t>
      </w:r>
      <w:r>
        <w:t xml:space="preserve">(low-single-digit growth in North America and EMEA, partially offset by a mid-single-digit decline in South America tied to weak peak-season weather and customer inventory timing).</w:t>
      </w:r>
    </w:p>
    <w:p>
      <w:pPr>
        <w:pStyle w:val="Compact"/>
        <w:numPr>
          <w:ilvl w:val="0"/>
          <w:numId w:val="1001"/>
        </w:numPr>
      </w:pPr>
      <w:r>
        <w:t xml:space="preserve">Segment detail: North &amp; Central America comparable operating earnings rose 2.5%;</w:t>
      </w:r>
      <w:r>
        <w:t xml:space="preserve"> </w:t>
      </w:r>
      <w:r>
        <w:rPr>
          <w:b/>
          <w:bCs/>
        </w:rPr>
        <w:t xml:space="preserve">EMEA surged 20%</w:t>
      </w:r>
      <w:r>
        <w:t xml:space="preserve">, helped by the newly closed Benepack acquisition (two plants in Belgium and Hungary) and roughly $15 million of favorable FX; South America was flat despite lower volumes, aided by disciplined cost management and inventory rebuild.</w:t>
      </w:r>
    </w:p>
    <w:p>
      <w:pPr>
        <w:pStyle w:val="Compact"/>
        <w:numPr>
          <w:ilvl w:val="0"/>
          <w:numId w:val="1001"/>
        </w:numPr>
      </w:pPr>
      <w:r>
        <w:t xml:space="preserve">Management noted a notable intra-quarter inflection: enterprise volumes were running up mid-single-digits in April, with</w:t>
      </w:r>
      <w:r>
        <w:t xml:space="preserve"> </w:t>
      </w:r>
      <w:r>
        <w:rPr>
          <w:b/>
          <w:bCs/>
        </w:rPr>
        <w:t xml:space="preserve">South America up 20% year-over-year in April</w:t>
      </w:r>
      <w:r>
        <w:t xml:space="preserve">, effectively erasing the entire Q1 volume decline in that region.</w:t>
      </w:r>
    </w:p>
    <w:p>
      <w:pPr>
        <w:pStyle w:val="Compact"/>
        <w:numPr>
          <w:ilvl w:val="0"/>
          <w:numId w:val="1001"/>
        </w:numPr>
      </w:pPr>
      <w:r>
        <w:t xml:space="preserve">The company also restated its segment definitions this quarter — moving India/Myanmar plants into EMEA and excluding financing-related items (factoring fees, interest income/expense) from "comparable operating earnings" — a change management framed as purely cosmetic to net earnings but one that added noise for investors modeling segment trends quarter-to-quarter.</w:t>
      </w:r>
    </w:p>
    <w:p>
      <w:pPr>
        <w:pStyle w:val="FirstParagraph"/>
      </w:pPr>
      <w:r>
        <w:t xml:space="preserve">Full-year 2026 guidance reiterated at Q1 included:</w:t>
      </w:r>
      <w:r>
        <w:t xml:space="preserve"> </w:t>
      </w:r>
      <w:r>
        <w:rPr>
          <w:b/>
          <w:bCs/>
        </w:rPr>
        <w:t xml:space="preserve">10%+ comparable diluted EPS growth</w:t>
      </w:r>
      <w:r>
        <w:t xml:space="preserve">,</w:t>
      </w:r>
      <w:r>
        <w:t xml:space="preserve"> </w:t>
      </w:r>
      <w:r>
        <w:rPr>
          <w:b/>
          <w:bCs/>
        </w:rPr>
        <w:t xml:space="preserve">free cash flow greater than</w:t>
      </w:r>
      <w:r>
        <w:rPr>
          <w:b/>
          <w:bCs/>
        </w:rPr>
        <w:t xml:space="preserve"> </w:t>
      </w:r>
      <m:oMath>
        <m:r>
          <m:t>900</m:t>
        </m:r>
        <m:r>
          <m:t>m</m:t>
        </m:r>
        <m:r>
          <m:t>i</m:t>
        </m:r>
        <m:r>
          <m:t>l</m:t>
        </m:r>
        <m:r>
          <m:t>l</m:t>
        </m:r>
        <m:r>
          <m:t>i</m:t>
        </m:r>
        <m:r>
          <m:t>o</m:t>
        </m:r>
        <m:r>
          <m:t>n</m:t>
        </m:r>
        <m:r>
          <m:rPr>
            <m:sty m:val="p"/>
          </m:rPr>
          <m:t>*</m:t>
        </m:r>
        <m:r>
          <m:rPr>
            <m:sty m:val="p"/>
          </m:rPr>
          <m:t>*</m:t>
        </m:r>
        <m:r>
          <m:rPr>
            <m:sty m:val="p"/>
          </m:rPr>
          <m:t>,</m:t>
        </m:r>
        <m:r>
          <m:t>a</m:t>
        </m:r>
        <m:r>
          <m:rPr>
            <m:sty m:val="p"/>
          </m:rPr>
          <m:t>*</m:t>
        </m:r>
        <m:r>
          <m:rPr>
            <m:sty m:val="p"/>
          </m:rPr>
          <m:t>*</m:t>
        </m:r>
        <m:r>
          <m:t> </m:t>
        </m:r>
        <m:r>
          <m:t>23</m:t>
        </m:r>
      </m:oMath>
      <w:r>
        <w:rPr>
          <w:b/>
          <w:bCs/>
        </w:rPr>
        <w:t xml:space="preserve">320 million of interest expense</w:t>
      </w:r>
      <w:r>
        <w:t xml:space="preserve">,</w:t>
      </w:r>
      <w:r>
        <w:t xml:space="preserve"> </w:t>
      </w:r>
      <w:r>
        <w:rPr>
          <w:b/>
          <w:bCs/>
        </w:rPr>
        <w:t xml:space="preserve">at least</w:t>
      </w:r>
      <w:r>
        <w:rPr>
          <w:b/>
          <w:bCs/>
        </w:rPr>
        <w:t xml:space="preserve"> </w:t>
      </w:r>
      <m:oMath>
        <m:r>
          <m:t>600</m:t>
        </m:r>
        <m:r>
          <m:t>m</m:t>
        </m:r>
        <m:r>
          <m:t>i</m:t>
        </m:r>
        <m:r>
          <m:t>l</m:t>
        </m:r>
        <m:r>
          <m:t>l</m:t>
        </m:r>
        <m:r>
          <m:t>i</m:t>
        </m:r>
        <m:r>
          <m:t>o</m:t>
        </m:r>
        <m:r>
          <m:t>n</m:t>
        </m:r>
        <m:r>
          <m:t>i</m:t>
        </m:r>
        <m:r>
          <m:t>n</m:t>
        </m:r>
        <m:r>
          <m:t>s</m:t>
        </m:r>
        <m:r>
          <m:t>h</m:t>
        </m:r>
        <m:r>
          <m:t>a</m:t>
        </m:r>
        <m:r>
          <m:t>r</m:t>
        </m:r>
        <m:r>
          <m:t>e</m:t>
        </m:r>
        <m:r>
          <m:t>b</m:t>
        </m:r>
        <m:r>
          <m:t>u</m:t>
        </m:r>
        <m:r>
          <m:t>y</m:t>
        </m:r>
        <m:r>
          <m:t>b</m:t>
        </m:r>
        <m:r>
          <m:t>a</m:t>
        </m:r>
        <m:r>
          <m:t>c</m:t>
        </m:r>
        <m:r>
          <m:t>k</m:t>
        </m:r>
        <m:r>
          <m:t>s</m:t>
        </m:r>
        <m:r>
          <m:rPr>
            <m:sty m:val="p"/>
          </m:rPr>
          <m:t>*</m:t>
        </m:r>
        <m:r>
          <m:rPr>
            <m:sty m:val="p"/>
          </m:rPr>
          <m:t>*</m:t>
        </m:r>
        <m:r>
          <m:t>b</m:t>
        </m:r>
        <m:r>
          <m:t>r</m:t>
        </m:r>
        <m:r>
          <m:t>i</m:t>
        </m:r>
        <m:r>
          <m:t>n</m:t>
        </m:r>
        <m:r>
          <m:t>g</m:t>
        </m:r>
        <m:r>
          <m:t>i</m:t>
        </m:r>
        <m:r>
          <m:t>n</m:t>
        </m:r>
        <m:r>
          <m:t>g</m:t>
        </m:r>
        <m:r>
          <m:t>t</m:t>
        </m:r>
        <m:r>
          <m:t>o</m:t>
        </m:r>
        <m:r>
          <m:t>t</m:t>
        </m:r>
        <m:r>
          <m:t>a</m:t>
        </m:r>
        <m:r>
          <m:t>l</m:t>
        </m:r>
        <m:r>
          <m:t>s</m:t>
        </m:r>
        <m:r>
          <m:t>h</m:t>
        </m:r>
        <m:r>
          <m:t>a</m:t>
        </m:r>
        <m:r>
          <m:t>r</m:t>
        </m:r>
        <m:r>
          <m:t>e</m:t>
        </m:r>
        <m:r>
          <m:t>h</m:t>
        </m:r>
        <m:r>
          <m:t>o</m:t>
        </m:r>
        <m:r>
          <m:t>l</m:t>
        </m:r>
        <m:r>
          <m:t>d</m:t>
        </m:r>
        <m:r>
          <m:t>e</m:t>
        </m:r>
        <m:r>
          <m:t>r</m:t>
        </m:r>
        <m:r>
          <m:t>r</m:t>
        </m:r>
        <m:r>
          <m:t>e</m:t>
        </m:r>
        <m:r>
          <m:t>t</m:t>
        </m:r>
        <m:r>
          <m:t>u</m:t>
        </m:r>
        <m:r>
          <m:t>r</m:t>
        </m:r>
        <m:r>
          <m:t>n</m:t>
        </m:r>
        <m:r>
          <m:t>s</m:t>
        </m:r>
        <m:r>
          <m:t>t</m:t>
        </m:r>
        <m:r>
          <m:t>o</m:t>
        </m:r>
        <m:r>
          <m:rPr>
            <m:sty m:val="p"/>
          </m:rPr>
          <m:t>*</m:t>
        </m:r>
        <m:r>
          <m:rPr>
            <m:sty m:val="p"/>
          </m:rPr>
          <m:t>*</m:t>
        </m:r>
        <m:r>
          <m:t> </m:t>
        </m:r>
      </m:oMath>
      <w:r>
        <w:rPr>
          <w:b/>
          <w:bCs/>
        </w:rPr>
        <w:t xml:space="preserve">800 million</w:t>
      </w:r>
      <w:r>
        <w:t xml:space="preserve">, and year-end</w:t>
      </w:r>
      <w:r>
        <w:t xml:space="preserve"> </w:t>
      </w:r>
      <w:r>
        <w:rPr>
          <w:b/>
          <w:bCs/>
        </w:rPr>
        <w:t xml:space="preserve">net debt/comparable EBITDA of ~2.7x</w:t>
      </w:r>
      <w:r>
        <w:t xml:space="preserve"> </w:t>
      </w:r>
      <w:r>
        <w:t xml:space="preserve">(versus 3.39x as of Q1-end, reflecting Benepack funding and normal seasonal working-capital build).</w:t>
      </w:r>
    </w:p>
    <w:bookmarkEnd w:id="10"/>
    <w:bookmarkStart w:id="11" w:name="what-the-street-expects-for-q2-2026"/>
    <w:p>
      <w:pPr>
        <w:pStyle w:val="Heading2"/>
      </w:pPr>
      <w:r>
        <w:t xml:space="preserve">What the Street Expects for Q2 2026</w:t>
      </w:r>
    </w:p>
    <w:p>
      <w:pPr>
        <w:pStyle w:val="FirstParagraph"/>
      </w:pPr>
      <w:r>
        <w:t xml:space="preserve">According to sell-side estimates compiled ahead of the print, analysts expect</w:t>
      </w:r>
      <w:r>
        <w:t xml:space="preserve"> </w:t>
      </w:r>
      <w:r>
        <w:rPr>
          <w:b/>
          <w:bCs/>
        </w:rPr>
        <w:t xml:space="preserve">BALL to post EPS of roughly $0.99</w:t>
      </w:r>
      <w:r>
        <w:t xml:space="preserve"> </w:t>
      </w:r>
      <w:r>
        <w:t xml:space="preserve">and</w:t>
      </w:r>
      <w:r>
        <w:t xml:space="preserve"> </w:t>
      </w:r>
      <w:r>
        <w:rPr>
          <w:b/>
          <w:bCs/>
        </w:rPr>
        <w:t xml:space="preserve">net sales around</w:t>
      </w:r>
      <w:r>
        <w:rPr>
          <w:b/>
          <w:bCs/>
        </w:rPr>
        <w:t xml:space="preserve"> </w:t>
      </w:r>
      <m:oMath>
        <m:r>
          <m:t>3.67</m:t>
        </m:r>
        <m:r>
          <m:rPr>
            <m:sty m:val="p"/>
          </m:rPr>
          <m:t>–</m:t>
        </m:r>
      </m:oMath>
      <w:r>
        <w:rPr>
          <w:b/>
          <w:bCs/>
        </w:rPr>
        <w:t xml:space="preserve">3.69 billion</w:t>
      </w:r>
      <w:r>
        <w:t xml:space="preserve">, which would represent roughly 9.8% revenue growth and ~10% EPS growth versus the $0.90 comparable EPS and $3.34 billion in sales Ball posted in Q2 2025. Zacks' model currently points to another beat, noting BALL has topped consensus in each of the trailing four quarters by an average of roughly 3.8%. By segment, the Street is looking for North &amp; Central America volumes to stay near the low end of Ball's long-term 1-3% growth range given ongoing capacity constraints, EMEA volumes to run above its 3-5% target on the back of the Benepack contribution, and South America to continue normalizing back toward its 4-6% long-term growth band after the April rebound. For the full year, Ball has guided enterprise volume growth toward the upper end of its 2-3% target range.</w:t>
      </w:r>
    </w:p>
    <w:bookmarkEnd w:id="11"/>
    <w:bookmarkStart w:id="12" w:name="X78c5eae77374f0663d1ce49e9ce2c6add3652fa"/>
    <w:p>
      <w:pPr>
        <w:pStyle w:val="Heading2"/>
      </w:pPr>
      <w:r>
        <w:t xml:space="preserve">Key Things to Watch in the Print and on the Call</w:t>
      </w:r>
    </w:p>
    <w:p>
      <w:pPr>
        <w:numPr>
          <w:ilvl w:val="0"/>
          <w:numId w:val="1002"/>
        </w:numPr>
      </w:pPr>
      <w:r>
        <w:rPr>
          <w:b/>
          <w:bCs/>
        </w:rPr>
        <w:t xml:space="preserve">Profit-per-can / operating leverage trend.</w:t>
      </w:r>
      <w:r>
        <w:t xml:space="preserve"> </w:t>
      </w:r>
      <w:r>
        <w:t xml:space="preserve">Management has explicitly elevated "operating earnings per can" as its preferred internal metric and driver of the 10%+ EPS algorithm. Watch whether the ~2x operating-leverage cadence from Q1 held up, particularly in North America, where new CFO Dan Rabbitt flagged that</w:t>
      </w:r>
      <w:r>
        <w:t xml:space="preserve"> </w:t>
      </w:r>
      <w:r>
        <w:rPr>
          <w:b/>
          <w:bCs/>
        </w:rPr>
        <w:t xml:space="preserve">roughly $35 million of Millersburg, Oregon startup costs and U.S. end-domestication costs</w:t>
      </w:r>
      <w:r>
        <w:t xml:space="preserve"> </w:t>
      </w:r>
      <w:r>
        <w:t xml:space="preserve">would begin hitting the P&amp;L later in the year — "heavily in the third quarter, possibly a little in the fourth quarter" — with some spillover expected into Q2 as well. This is arguably the single biggest known headwind to NCA segment margins this quarter and next.</w:t>
      </w:r>
    </w:p>
    <w:p>
      <w:pPr>
        <w:numPr>
          <w:ilvl w:val="0"/>
          <w:numId w:val="1002"/>
        </w:numPr>
      </w:pPr>
      <w:r>
        <w:rPr>
          <w:b/>
          <w:bCs/>
        </w:rPr>
        <w:t xml:space="preserve">South America volume recovery.</w:t>
      </w:r>
      <w:r>
        <w:t xml:space="preserve"> </w:t>
      </w:r>
      <w:r>
        <w:t xml:space="preserve">Given the sharp April rebound (+20% y/y) that management said fully offset the Q1 decline, Q2 should show a much cleaner y/y comparison in South America. Confirmation that the region is tracking back toward its 4-6% long-term volume growth target would be a positive signal.</w:t>
      </w:r>
    </w:p>
    <w:p>
      <w:pPr>
        <w:numPr>
          <w:ilvl w:val="0"/>
          <w:numId w:val="1002"/>
        </w:numPr>
      </w:pPr>
      <w:r>
        <w:rPr>
          <w:b/>
          <w:bCs/>
        </w:rPr>
        <w:t xml:space="preserve">EMEA/Benepack integration.</w:t>
      </w:r>
      <w:r>
        <w:t xml:space="preserve"> </w:t>
      </w:r>
      <w:r>
        <w:t xml:space="preserve">EMEA was the standout segment in Q1 (op. earnings +20%), aided by FX and the Benepack acquisition. Investors will want an update on capacity utilization at the newly acquired Belgium and Hungary plants and whether the segment continues running "above" its 3-5% long-term volume growth algorithm, as guided.</w:t>
      </w:r>
    </w:p>
    <w:p>
      <w:pPr>
        <w:numPr>
          <w:ilvl w:val="0"/>
          <w:numId w:val="1002"/>
        </w:numPr>
      </w:pPr>
      <w:r>
        <w:rPr>
          <w:b/>
          <w:bCs/>
        </w:rPr>
        <w:t xml:space="preserve">Aluminum/tariff pass-through mechanics.</w:t>
      </w:r>
      <w:r>
        <w:t xml:space="preserve"> </w:t>
      </w:r>
      <w:r>
        <w:t xml:space="preserve">Section 232 tariffs on aluminum (50% since mid-2025) remain a live cost variable industry-wide, though Ball has consistently characterized its aluminum cost pass-through as essentially immediate and de minimis to earnings, with management noting on the Q1 call that recent tariff/derivative-product changes could even be "slightly positive." Any commentary on further tariff shifts, aluminum premiums, or freight/energy cost inflation (areas management called out as less immediately pass-through than aluminum) is worth monitoring.</w:t>
      </w:r>
    </w:p>
    <w:p>
      <w:pPr>
        <w:numPr>
          <w:ilvl w:val="0"/>
          <w:numId w:val="1002"/>
        </w:numPr>
      </w:pPr>
      <w:r>
        <w:rPr>
          <w:b/>
          <w:bCs/>
        </w:rPr>
        <w:t xml:space="preserve">Capital allocation and leverage path.</w:t>
      </w:r>
      <w:r>
        <w:t xml:space="preserve"> </w:t>
      </w:r>
      <w:r>
        <w:t xml:space="preserve">With net debt/EBITDA at 3.39x post-Q1 (elevated by the Benepack deal), confirmation that Ball remains on track to end 2026 near 2.7x, alongside continued progress on the ~$800 million total shareholder return target (buybacks plus the steady $0.20/share quarterly dividend), will be a key balance-sheet checkpoint.</w:t>
      </w:r>
    </w:p>
    <w:p>
      <w:pPr>
        <w:numPr>
          <w:ilvl w:val="0"/>
          <w:numId w:val="1002"/>
        </w:numPr>
      </w:pPr>
      <w:r>
        <w:rPr>
          <w:b/>
          <w:bCs/>
        </w:rPr>
        <w:t xml:space="preserve">Contracted visibility.</w:t>
      </w:r>
      <w:r>
        <w:t xml:space="preserve"> </w:t>
      </w:r>
      <w:r>
        <w:t xml:space="preserve">As a reminder of the demand backdrop, management indicated the company is fully sold for 2026, more than 90% sold for 2027, and roughly 50% sold through the balance of the decade — underscoring the multi-year visibility investors typically ascribe premium multiples to in this business, and a useful anchor for judging any change in tone around 2027 contracting/pricing.</w:t>
      </w:r>
    </w:p>
    <w:p>
      <w:pPr>
        <w:numPr>
          <w:ilvl w:val="0"/>
          <w:numId w:val="1002"/>
        </w:numPr>
      </w:pPr>
      <w:r>
        <w:rPr>
          <w:b/>
          <w:bCs/>
        </w:rPr>
        <w:t xml:space="preserve">Consumer/promotional tailwinds.</w:t>
      </w:r>
      <w:r>
        <w:t xml:space="preserve"> </w:t>
      </w:r>
      <w:r>
        <w:t xml:space="preserve">Management called out favorable summer 2026 promotional activity (World Cup and America's 250th-anniversary branded packaging lines) as a modest net positive for volumes across regions — worth checking whether that translated into visible upside in the quarter.</w:t>
      </w:r>
    </w:p>
    <w:bookmarkEnd w:id="12"/>
    <w:bookmarkStart w:id="13" w:name="bottom-line"/>
    <w:p>
      <w:pPr>
        <w:pStyle w:val="Heading2"/>
      </w:pPr>
      <w:r>
        <w:t xml:space="preserve">Bottom Line</w:t>
      </w:r>
    </w:p>
    <w:p>
      <w:pPr>
        <w:pStyle w:val="FirstParagraph"/>
      </w:pPr>
      <w:r>
        <w:t xml:space="preserve">Ball heads into Q2 with three consecutive quarters of comparable EPS beats, reaffirmed full-year guidance of 10%+ EPS growth and &gt;$900 million of free cash flow, and a stock that has already re-rated meaningfully off its June lows. The setup is therefore one of high expectations: consensus is calling for ~10% EPS growth and high-single-digit revenue growth, and the market's Zacks-style models lean toward another beat. The bigger swing factors are likely to be qualitative — how cleanly management can explain segment performance under the new reporting structure, the magnitude of Millersburg/domestication startup costs hitting North America margins, and whether South America's volume recovery and EMEA's Benepack-driven strength both continued through the full quarter rather than just April.</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2026-08-04T00:53:32Z</dcterms:created>
  <dcterms:modified xsi:type="dcterms:W3CDTF">2026-08-04T00:53:32Z</dcterms:modified>
</cp:coreProperties>
</file>

<file path=docProps/custom.xml><?xml version="1.0" encoding="utf-8"?>
<Properties xmlns="http://schemas.openxmlformats.org/officeDocument/2006/custom-properties" xmlns:vt="http://schemas.openxmlformats.org/officeDocument/2006/docPropsVTypes"/>
</file>