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all-earnings-predictions--2026-08-04"/>
    <w:p>
      <w:pPr>
        <w:pStyle w:val="Heading1"/>
      </w:pPr>
      <w:r>
        <w:t xml:space="preserve">BALL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Comparable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~$1.03 vs. cons $0.99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Comparable operating earnings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446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440M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~$3.72B vs. cons $3.69B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Comparable EPS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~10%+ vs. cons 11.8%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&gt;</w:t>
            </w:r>
            <m:oMath>
              <m:r>
                <m:t>900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925M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Implied comparable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~$1.03 vs. cons $1.06 (2026Q3)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Share repurchases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≥</w:t>
            </w:r>
            <m:oMath>
              <m:r>
                <m:t>600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600M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A predicted ~</w:t>
            </w:r>
            <m:oMath>
              <m:r>
                <m:t>0.04</m:t>
              </m:r>
              <m:r>
                <m:t>Q</m:t>
              </m:r>
              <m:r>
                <m:t>2</m:t>
              </m:r>
              <m:r>
                <m:t>E</m:t>
              </m:r>
              <m:r>
                <m:t>P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i</m:t>
              </m:r>
              <m:r>
                <m:t>s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o</m:t>
              </m:r>
              <m:r>
                <m:t>f</m:t>
              </m:r>
              <m:r>
                <m:t>f</m:t>
              </m:r>
              <m:r>
                <m:t>s</m:t>
              </m:r>
              <m:r>
                <m:t>e</m:t>
              </m:r>
              <m:r>
                <m:t>t</m:t>
              </m:r>
              <m:r>
                <m:t>b</m:t>
              </m:r>
              <m:r>
                <m:t>y</m:t>
              </m:r>
              <m:r>
                <m:t>a</m:t>
              </m:r>
              <m:r>
                <m:t>n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c</m:t>
              </m:r>
              <m:r>
                <m:t>i</m:t>
              </m:r>
              <m:r>
                <m:t>t</m:t>
              </m:r>
              <m:r>
                <m:t> </m:t>
              </m:r>
            </m:oMath>
            <w:r>
              <w:t xml:space="preserve">0.03 Q3 EPS cut from start-up costs, while FY2026 EPS growth remains ~10%+ versus the Street's 11.8%; unchanged cash-flow and buyback targets limit upward revisions and should keep estimates drifting lower after the report.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2026-08-04T00:49:58Z</dcterms:created>
  <dcterms:modified xsi:type="dcterms:W3CDTF">2026-08-04T00:49:58Z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