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ball-2026q2-earnings-preview"/>
    <w:p>
      <w:pPr>
        <w:pStyle w:val="Heading1"/>
      </w:pPr>
      <w:r>
        <w:t xml:space="preserve">BALL 2026Q2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Ball’s July 6 announcement schedules second-quarter earnings for</w:t>
      </w:r>
      <w:r>
        <w:t xml:space="preserve"> </w:t>
      </w:r>
      <w:r>
        <w:rPr>
          <w:b/>
          <w:bCs/>
        </w:rPr>
        <w:t xml:space="preserve">Tuesday, August 4, 2026, before the NYSE opens</w:t>
      </w:r>
      <w:r>
        <w:t xml:space="preserve">, with the call at</w:t>
      </w:r>
      <w:r>
        <w:t xml:space="preserve"> </w:t>
      </w:r>
      <w:r>
        <w:rPr>
          <w:b/>
          <w:bCs/>
        </w:rPr>
        <w:t xml:space="preserve">8:30 a.m. Eastern</w:t>
      </w:r>
      <w:r>
        <w:t xml:space="preserve">. Thus, based on the stated event date, the report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</w:t>
      </w:r>
    </w:p>
    <w:bookmarkStart w:id="9" w:name="investment-view-going-into-the-report"/>
    <w:p>
      <w:pPr>
        <w:pStyle w:val="Heading2"/>
      </w:pPr>
      <w:r>
        <w:t xml:space="preserve">Investment view going into the report</w:t>
      </w:r>
    </w:p>
    <w:p>
      <w:pPr>
        <w:pStyle w:val="FirstParagraph"/>
      </w:pPr>
      <w:r>
        <w:t xml:space="preserve">Ball enters the quarter with favorable operating momentum but a more demanding setup. First-quarter comparable operating earnings increased 10%, comparable EPS rose 22%, and management said April global volumes were growing at a mid-single-digit rate. The shares have also risen approximately 7% from the trading day before the Q1 report through August 3.</w:t>
      </w:r>
    </w:p>
    <w:p>
      <w:pPr>
        <w:pStyle w:val="BodyText"/>
      </w:pPr>
      <w:r>
        <w:t xml:space="preserve">The central question is no longer whether beverage-can demand is improving. It is whether Ball can convert that demand into</w:t>
      </w:r>
      <w:r>
        <w:t xml:space="preserve"> </w:t>
      </w:r>
      <w:r>
        <w:rPr>
          <w:b/>
          <w:bCs/>
        </w:rPr>
        <w:t xml:space="preserve">higher profit per can</w:t>
      </w:r>
      <w:r>
        <w:t xml:space="preserve"> </w:t>
      </w:r>
      <w:r>
        <w:t xml:space="preserve">while absorbing new-facility start-up expenses and preserving its full-year cash-flow and capital-return commitments.</w:t>
      </w:r>
    </w:p>
    <w:p>
      <w:pPr>
        <w:pStyle w:val="BodyText"/>
      </w:pPr>
      <w:r>
        <w:t xml:space="preserve">A solid report should include:</w:t>
      </w:r>
    </w:p>
    <w:p>
      <w:pPr>
        <w:pStyle w:val="Compact"/>
        <w:numPr>
          <w:ilvl w:val="0"/>
          <w:numId w:val="1001"/>
        </w:numPr>
      </w:pPr>
      <w:r>
        <w:t xml:space="preserve">Continued global volume growth, including confirmation that South America’s April rebound persisted.</w:t>
      </w:r>
    </w:p>
    <w:p>
      <w:pPr>
        <w:pStyle w:val="Compact"/>
        <w:numPr>
          <w:ilvl w:val="0"/>
          <w:numId w:val="1001"/>
        </w:numPr>
      </w:pPr>
      <w:r>
        <w:t xml:space="preserve">Comparable operating-earnings growth near or above the company’s 2-to-1 operating-leverage framework.</w:t>
      </w:r>
    </w:p>
    <w:p>
      <w:pPr>
        <w:pStyle w:val="Compact"/>
        <w:numPr>
          <w:ilvl w:val="0"/>
          <w:numId w:val="1001"/>
        </w:numPr>
      </w:pPr>
      <w:r>
        <w:t xml:space="preserve">Evidence that EMEA’s improvement is operational, not predominantly foreign exchange or acquisition accounting.</w:t>
      </w:r>
    </w:p>
    <w:p>
      <w:pPr>
        <w:pStyle w:val="Compact"/>
        <w:numPr>
          <w:ilvl w:val="0"/>
          <w:numId w:val="1001"/>
        </w:numPr>
      </w:pPr>
      <w:r>
        <w:t xml:space="preserve">Limited erosion in North American profitability as Millersburg and domestic-end start-up costs begin.</w:t>
      </w:r>
    </w:p>
    <w:p>
      <w:pPr>
        <w:pStyle w:val="Compact"/>
        <w:numPr>
          <w:ilvl w:val="0"/>
          <w:numId w:val="1001"/>
        </w:numPr>
      </w:pPr>
      <w:r>
        <w:t xml:space="preserve">Reaffirmation of greater than 10% full-year EPS growth and more than $900 million of free cash flow.</w:t>
      </w:r>
    </w:p>
    <w:p>
      <w:pPr>
        <w:pStyle w:val="Compact"/>
        <w:numPr>
          <w:ilvl w:val="0"/>
          <w:numId w:val="1001"/>
        </w:numPr>
      </w:pPr>
      <w:r>
        <w:t xml:space="preserve">A credible path to at least $600 million of repurchases and $800 million of total shareholder distributions this year.</w:t>
      </w:r>
    </w:p>
    <w:bookmarkEnd w:id="9"/>
    <w:bookmarkStart w:id="10" w:name="the-relevant-comparisons"/>
    <w:p>
      <w:pPr>
        <w:pStyle w:val="Heading2"/>
      </w:pPr>
      <w:r>
        <w:t xml:space="preserve">The relevant comparisons</w:t>
      </w:r>
    </w:p>
    <w:p>
      <w:pPr>
        <w:pStyle w:val="FirstParagraph"/>
      </w:pPr>
      <w:r>
        <w:t xml:space="preserve">Ball recast its 2025 results under its new segment definitions, providing the following Q2 baseline: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2025Q2 baseline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$3.34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Comparable operating earnings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$402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Comparable diluted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$0.90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North &amp; Central America operating earnings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$212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EMEA operating earnings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$152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South America operating earnings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$50 million</w:t>
            </w:r>
          </w:p>
        </w:tc>
      </w:tr>
    </w:tbl>
    <w:p>
      <w:pPr>
        <w:pStyle w:val="BodyText"/>
      </w:pPr>
      <w:r>
        <w:t xml:space="preserve">A simple 10% growth benchmark would put Q2 EPS around</w:t>
      </w:r>
      <w:r>
        <w:t xml:space="preserve"> </w:t>
      </w:r>
      <m:oMath>
        <m:r>
          <m:t>0.99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r</m:t>
        </m:r>
        <m:r>
          <m:t>a</m:t>
        </m:r>
        <m:r>
          <m:t>b</m:t>
        </m:r>
        <m:r>
          <m:t>l</m:t>
        </m:r>
        <m:r>
          <m:t>e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e</m:t>
        </m:r>
        <m:r>
          <m:t>a</m:t>
        </m:r>
        <m:r>
          <m:t>r</m:t>
        </m:r>
        <m:r>
          <m:t>n</m:t>
        </m:r>
        <m:r>
          <m:t>i</m:t>
        </m:r>
        <m:r>
          <m:t>n</m:t>
        </m:r>
        <m:r>
          <m:t>g</m:t>
        </m:r>
        <m:r>
          <m:t>s</m:t>
        </m:r>
        <m:r>
          <m:t>a</m:t>
        </m:r>
        <m:r>
          <m:t>r</m:t>
        </m:r>
        <m:r>
          <m:t>o</m:t>
        </m:r>
        <m:r>
          <m:t>u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442 million</w:t>
      </w:r>
      <w:r>
        <w:t xml:space="preserve">, although quarterly results need not track the annual algorithm exactly. In particular, the timing of start-up costs may make operating earnings a tougher comparison than underlying volume or profit-per-can performance.</w:t>
      </w:r>
    </w:p>
    <w:p>
      <w:pPr>
        <w:pStyle w:val="BodyText"/>
      </w:pPr>
      <w:r>
        <w:t xml:space="preserve">Revenue is not the best measure of execution. In Q1, sales increased 16% while shipments grew only 0.8%, largely because higher aluminum prices pass through to customers. Investors should prioritize:</w:t>
      </w:r>
    </w:p>
    <w:p>
      <w:pPr>
        <w:pStyle w:val="Compact"/>
        <w:numPr>
          <w:ilvl w:val="0"/>
          <w:numId w:val="1002"/>
        </w:numPr>
      </w:pPr>
      <w:r>
        <w:t xml:space="preserve">Regional shipment growth.</w:t>
      </w:r>
    </w:p>
    <w:p>
      <w:pPr>
        <w:pStyle w:val="Compact"/>
        <w:numPr>
          <w:ilvl w:val="0"/>
          <w:numId w:val="1002"/>
        </w:numPr>
      </w:pPr>
      <w:r>
        <w:t xml:space="preserve">Comparable operating earnings.</w:t>
      </w:r>
    </w:p>
    <w:p>
      <w:pPr>
        <w:pStyle w:val="Compact"/>
        <w:numPr>
          <w:ilvl w:val="0"/>
          <w:numId w:val="1002"/>
        </w:numPr>
      </w:pPr>
      <w:r>
        <w:t xml:space="preserve">Operating earnings per can.</w:t>
      </w:r>
    </w:p>
    <w:p>
      <w:pPr>
        <w:pStyle w:val="Compact"/>
        <w:numPr>
          <w:ilvl w:val="0"/>
          <w:numId w:val="1002"/>
        </w:numPr>
      </w:pPr>
      <w:r>
        <w:t xml:space="preserve">Free cash flow and leverage.</w:t>
      </w:r>
    </w:p>
    <w:p>
      <w:pPr>
        <w:pStyle w:val="Compact"/>
        <w:numPr>
          <w:ilvl w:val="0"/>
          <w:numId w:val="1002"/>
        </w:numPr>
      </w:pPr>
      <w:r>
        <w:t xml:space="preserve">The contribution of share-count reduction to EPS.</w:t>
      </w:r>
    </w:p>
    <w:bookmarkEnd w:id="10"/>
    <w:bookmarkStart w:id="14" w:name="regional-scorecard"/>
    <w:p>
      <w:pPr>
        <w:pStyle w:val="Heading2"/>
      </w:pPr>
      <w:r>
        <w:t xml:space="preserve">Regional scorecard</w:t>
      </w:r>
    </w:p>
    <w:bookmarkStart w:id="11" w:name="X6fc345ca4a7a4f2a964026673a12389e5b21d83"/>
    <w:p>
      <w:pPr>
        <w:pStyle w:val="Heading3"/>
      </w:pPr>
      <w:r>
        <w:t xml:space="preserve">North and Central America: demand versus start-up costs</w:t>
      </w:r>
    </w:p>
    <w:p>
      <w:pPr>
        <w:pStyle w:val="FirstParagraph"/>
      </w:pPr>
      <w:r>
        <w:t xml:space="preserve">North America is likely to be the most closely watched segment.</w:t>
      </w:r>
    </w:p>
    <w:p>
      <w:pPr>
        <w:pStyle w:val="BodyText"/>
      </w:pPr>
      <w:r>
        <w:t xml:space="preserve">Q1 volumes increased low single digits, supported by energy drinks and other nonalcoholic beverages, but operating earnings rose only 2.5% to $205 million. Management continues to expect full-year volume growth near the low end of its long-term 1%–3% range because the network is capacity constrained.</w:t>
      </w:r>
    </w:p>
    <w:p>
      <w:pPr>
        <w:pStyle w:val="BodyText"/>
      </w:pPr>
      <w:r>
        <w:t xml:space="preserve">The major variables are: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Category mix:</w:t>
      </w:r>
      <w:r>
        <w:t xml:space="preserve"> </w:t>
      </w:r>
      <w:r>
        <w:t xml:space="preserve">Energy drinks and nonalcoholic beverages are growing, but some of these products have historically carried lower margins than beer.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Operational efficiency:</w:t>
      </w:r>
      <w:r>
        <w:t xml:space="preserve"> </w:t>
      </w:r>
      <w:r>
        <w:t xml:space="preserve">Running the network near full utilization can create freight, scheduling and changeover inefficiencies.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Millersburg:</w:t>
      </w:r>
      <w:r>
        <w:t xml:space="preserve"> </w:t>
      </w:r>
      <w:r>
        <w:t xml:space="preserve">The Oregon plant is expected to begin commissioning late this year and contribute meaningful volume in 2027.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Domestic end production:</w:t>
      </w:r>
      <w:r>
        <w:t xml:space="preserve"> </w:t>
      </w:r>
      <w:r>
        <w:t xml:space="preserve">This is another long-term supply-chain investment but creates near-term expense.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Start-up costs:</w:t>
      </w:r>
      <w:r>
        <w:t xml:space="preserve"> </w:t>
      </w:r>
      <w:r>
        <w:t xml:space="preserve">Ball expects approximately</w:t>
      </w:r>
      <w:r>
        <w:t xml:space="preserve"> </w:t>
      </w:r>
      <w:r>
        <w:rPr>
          <w:b/>
          <w:bCs/>
        </w:rPr>
        <w:t xml:space="preserve">$35 million</w:t>
      </w:r>
      <w:r>
        <w:t xml:space="preserve"> </w:t>
      </w:r>
      <w:r>
        <w:t xml:space="preserve">of combined 2026 start-up costs, beginning later in Q2, with the largest impact likely in Q3.</w:t>
      </w:r>
    </w:p>
    <w:p>
      <w:pPr>
        <w:pStyle w:val="FirstParagraph"/>
      </w:pPr>
      <w:r>
        <w:t xml:space="preserve">A modest year-over-year decline in reported North American earnings would not necessarily invalidate the thesis if management can clearly separate temporary start-up spending from improving base-business profit per can. Conversely, weak profitability without a convincing cost bridge would be a concern.</w:t>
      </w:r>
    </w:p>
    <w:bookmarkEnd w:id="11"/>
    <w:bookmarkStart w:id="12" w:name="X128ff3047521fb560c005e1af6d0b83660913c1"/>
    <w:p>
      <w:pPr>
        <w:pStyle w:val="Heading3"/>
      </w:pPr>
      <w:r>
        <w:t xml:space="preserve">EMEA: the principal operating-leverage opportunity</w:t>
      </w:r>
    </w:p>
    <w:p>
      <w:pPr>
        <w:pStyle w:val="FirstParagraph"/>
      </w:pPr>
      <w:r>
        <w:t xml:space="preserve">EMEA was the strongest region in Q1:</w:t>
      </w:r>
    </w:p>
    <w:p>
      <w:pPr>
        <w:pStyle w:val="Compact"/>
        <w:numPr>
          <w:ilvl w:val="0"/>
          <w:numId w:val="1004"/>
        </w:numPr>
      </w:pPr>
      <w:r>
        <w:t xml:space="preserve">Volume increased low single digits.</w:t>
      </w:r>
    </w:p>
    <w:p>
      <w:pPr>
        <w:pStyle w:val="Compact"/>
        <w:numPr>
          <w:ilvl w:val="0"/>
          <w:numId w:val="1004"/>
        </w:numPr>
      </w:pPr>
      <w:r>
        <w:t xml:space="preserve">Comparable operating earnings rose 20% to $134 million.</w:t>
      </w:r>
    </w:p>
    <w:p>
      <w:pPr>
        <w:pStyle w:val="Compact"/>
        <w:numPr>
          <w:ilvl w:val="0"/>
          <w:numId w:val="1004"/>
        </w:numPr>
      </w:pPr>
      <w:r>
        <w:t xml:space="preserve">The Benepack acquisition added plants in Belgium and Hungary.</w:t>
      </w:r>
    </w:p>
    <w:p>
      <w:pPr>
        <w:pStyle w:val="Compact"/>
        <w:numPr>
          <w:ilvl w:val="0"/>
          <w:numId w:val="1004"/>
        </w:numPr>
      </w:pPr>
      <w:r>
        <w:t xml:space="preserve">Management expects 2026 volume growth above its long-term 3%–5% range, including Benepack.</w:t>
      </w:r>
    </w:p>
    <w:p>
      <w:pPr>
        <w:pStyle w:val="FirstParagraph"/>
      </w:pPr>
      <w:r>
        <w:t xml:space="preserve">Foreign exchange contributed to Q1, although management said it represented less than half of the segment’s operating-earnings increase. The Q2 test is whether manufacturing standardization, network optimization and higher utilization are producing sustainable improvement.</w:t>
      </w:r>
    </w:p>
    <w:p>
      <w:pPr>
        <w:pStyle w:val="BodyText"/>
      </w:pPr>
      <w:r>
        <w:t xml:space="preserve">Investors should look for:</w:t>
      </w:r>
    </w:p>
    <w:p>
      <w:pPr>
        <w:pStyle w:val="Compact"/>
        <w:numPr>
          <w:ilvl w:val="0"/>
          <w:numId w:val="1005"/>
        </w:numPr>
      </w:pPr>
      <w:r>
        <w:t xml:space="preserve">Organic versus acquired volume growth.</w:t>
      </w:r>
    </w:p>
    <w:p>
      <w:pPr>
        <w:pStyle w:val="Compact"/>
        <w:numPr>
          <w:ilvl w:val="0"/>
          <w:numId w:val="1005"/>
        </w:numPr>
      </w:pPr>
      <w:r>
        <w:t xml:space="preserve">Benepack utilization and integration progress.</w:t>
      </w:r>
    </w:p>
    <w:p>
      <w:pPr>
        <w:pStyle w:val="Compact"/>
        <w:numPr>
          <w:ilvl w:val="0"/>
          <w:numId w:val="1005"/>
        </w:numPr>
      </w:pPr>
      <w:r>
        <w:t xml:space="preserve">Profit-per-can improvement.</w:t>
      </w:r>
    </w:p>
    <w:p>
      <w:pPr>
        <w:pStyle w:val="Compact"/>
        <w:numPr>
          <w:ilvl w:val="0"/>
          <w:numId w:val="1005"/>
        </w:numPr>
      </w:pPr>
      <w:r>
        <w:t xml:space="preserve">The magnitude of currency translation.</w:t>
      </w:r>
    </w:p>
    <w:p>
      <w:pPr>
        <w:pStyle w:val="Compact"/>
        <w:numPr>
          <w:ilvl w:val="0"/>
          <w:numId w:val="1005"/>
        </w:numPr>
      </w:pPr>
      <w:r>
        <w:t xml:space="preserve">Confirmation of approximately 2-to-1 operating leverage.</w:t>
      </w:r>
    </w:p>
    <w:p>
      <w:pPr>
        <w:pStyle w:val="FirstParagraph"/>
      </w:pPr>
      <w:r>
        <w:t xml:space="preserve">EMEA has Ball’s lowest profit per can among the three regions, according to management, making it both the largest improvement opportunity and a key part of the upside case.</w:t>
      </w:r>
    </w:p>
    <w:bookmarkEnd w:id="12"/>
    <w:bookmarkStart w:id="13" w:name="south-america-was-aprils-rebound-durable"/>
    <w:p>
      <w:pPr>
        <w:pStyle w:val="Heading3"/>
      </w:pPr>
      <w:r>
        <w:t xml:space="preserve">South America: was April’s rebound durable?</w:t>
      </w:r>
    </w:p>
    <w:p>
      <w:pPr>
        <w:pStyle w:val="FirstParagraph"/>
      </w:pPr>
      <w:r>
        <w:t xml:space="preserve">South America is the quarter’s largest swing factor.</w:t>
      </w:r>
    </w:p>
    <w:p>
      <w:pPr>
        <w:pStyle w:val="BodyText"/>
      </w:pPr>
      <w:r>
        <w:t xml:space="preserve">Q1 volumes declined mid-single digits, largely because customers entered the year with elevated inventory following strong Q4 shipments. Despite that decline, segment operating earnings were flat at $67 million because of cost discipline, favorable mix and inventory production.</w:t>
      </w:r>
    </w:p>
    <w:p>
      <w:pPr>
        <w:pStyle w:val="BodyText"/>
      </w:pPr>
      <w:r>
        <w:t xml:space="preserve">Management then disclosed a sharp reversal:</w:t>
      </w:r>
    </w:p>
    <w:p>
      <w:pPr>
        <w:pStyle w:val="Compact"/>
        <w:numPr>
          <w:ilvl w:val="0"/>
          <w:numId w:val="1006"/>
        </w:numPr>
      </w:pPr>
      <w:r>
        <w:t xml:space="preserve">April South American volume increased approximately 20% year over year.</w:t>
      </w:r>
    </w:p>
    <w:p>
      <w:pPr>
        <w:pStyle w:val="Compact"/>
        <w:numPr>
          <w:ilvl w:val="0"/>
          <w:numId w:val="1006"/>
        </w:numPr>
      </w:pPr>
      <w:r>
        <w:t xml:space="preserve">That increase reportedly erased the entire Q1 decline, leaving year-to-date volume roughly flat after April.</w:t>
      </w:r>
    </w:p>
    <w:p>
      <w:pPr>
        <w:pStyle w:val="Compact"/>
        <w:numPr>
          <w:ilvl w:val="0"/>
          <w:numId w:val="1006"/>
        </w:numPr>
      </w:pPr>
      <w:r>
        <w:t xml:space="preserve">Ball maintained its expectation for 4%–6% full-year regional growth.</w:t>
      </w:r>
    </w:p>
    <w:p>
      <w:pPr>
        <w:pStyle w:val="FirstParagraph"/>
      </w:pPr>
      <w:r>
        <w:t xml:space="preserve">The key question is whether April represented a genuine demand recovery or merely order timing and inventory replenishment. Sustained growth through May and June would substantially increase confidence in the full-year outlook. Another reversal would make the 4%–6% objective difficult and raise questions about customer concentration and underlying Brazilian demand.</w:t>
      </w:r>
    </w:p>
    <w:bookmarkEnd w:id="13"/>
    <w:bookmarkEnd w:id="14"/>
    <w:bookmarkStart w:id="15" w:name="eps-quality-and-capital-allocation"/>
    <w:p>
      <w:pPr>
        <w:pStyle w:val="Heading2"/>
      </w:pPr>
      <w:r>
        <w:t xml:space="preserve">EPS quality and capital allocation</w:t>
      </w:r>
    </w:p>
    <w:p>
      <w:pPr>
        <w:pStyle w:val="FirstParagraph"/>
      </w:pPr>
      <w:r>
        <w:t xml:space="preserve">Q1 comparable EPS grew 22%, but comparable net earnings grew approximately 15% and operating earnings grew 10%. The difference reflects, among other items, Ball’s materially lower share count: Q1 diluted shares declined to 267.4 million from 285.1 million a year earlier.</w:t>
      </w:r>
    </w:p>
    <w:p>
      <w:pPr>
        <w:pStyle w:val="BodyText"/>
      </w:pPr>
      <w:r>
        <w:t xml:space="preserve">That distinction matters. The earnings algorithm combines:</w:t>
      </w:r>
    </w:p>
    <w:p>
      <w:pPr>
        <w:pStyle w:val="Compact"/>
        <w:numPr>
          <w:ilvl w:val="0"/>
          <w:numId w:val="1007"/>
        </w:numPr>
      </w:pPr>
      <w:r>
        <w:t xml:space="preserve">Modest global volume growth.</w:t>
      </w:r>
    </w:p>
    <w:p>
      <w:pPr>
        <w:pStyle w:val="Compact"/>
        <w:numPr>
          <w:ilvl w:val="0"/>
          <w:numId w:val="1007"/>
        </w:numPr>
      </w:pPr>
      <w:r>
        <w:t xml:space="preserve">Roughly 2-to-1 operating leverage.</w:t>
      </w:r>
    </w:p>
    <w:p>
      <w:pPr>
        <w:pStyle w:val="Compact"/>
        <w:numPr>
          <w:ilvl w:val="0"/>
          <w:numId w:val="1007"/>
        </w:numPr>
      </w:pPr>
      <w:r>
        <w:t xml:space="preserve">Lower shares outstanding.</w:t>
      </w:r>
    </w:p>
    <w:p>
      <w:pPr>
        <w:pStyle w:val="Compact"/>
        <w:numPr>
          <w:ilvl w:val="0"/>
          <w:numId w:val="1007"/>
        </w:numPr>
      </w:pPr>
      <w:r>
        <w:t xml:space="preserve">Disciplined interest, tax and corporate costs.</w:t>
      </w:r>
    </w:p>
    <w:p>
      <w:pPr>
        <w:pStyle w:val="FirstParagraph"/>
      </w:pPr>
      <w:r>
        <w:t xml:space="preserve">Management’s current 2026 framework includes: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Comparable EPS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10%+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More than $900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Share repurchases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At least $600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shareholder returns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 $800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Interest expense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 $320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Comparable tax rate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Slightly above 23%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Corporate undistributed costs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 $175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Year-end net leverage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 2.7×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Roughly in line with GAAP D&amp;A</w:t>
            </w:r>
          </w:p>
        </w:tc>
      </w:tr>
    </w:tbl>
    <w:p>
      <w:pPr>
        <w:pStyle w:val="BodyText"/>
      </w:pPr>
      <w:r>
        <w:t xml:space="preserve">Full-year EPS above roughly</w:t>
      </w:r>
      <w:r>
        <w:t xml:space="preserve"> </w:t>
      </w:r>
      <w:r>
        <w:rPr>
          <w:b/>
          <w:bCs/>
        </w:rPr>
        <w:t xml:space="preserve">$3.97</w:t>
      </w:r>
      <w:r>
        <w:t xml:space="preserve"> </w:t>
      </w:r>
      <w:r>
        <w:t xml:space="preserve">would satisfy 10% growth from recast 2025 comparable EPS of $3.61.</w:t>
      </w:r>
    </w:p>
    <w:bookmarkEnd w:id="15"/>
    <w:bookmarkStart w:id="16" w:name="Xbd4952b8d71c3f4e2600f434a1f551ff3761bde"/>
    <w:p>
      <w:pPr>
        <w:pStyle w:val="Heading2"/>
      </w:pPr>
      <w:r>
        <w:t xml:space="preserve">Cash flow is likely to remain back-end weighted</w:t>
      </w:r>
    </w:p>
    <w:p>
      <w:pPr>
        <w:pStyle w:val="FirstParagraph"/>
      </w:pPr>
      <w:r>
        <w:t xml:space="preserve">Q1 free cash flow was negative $938 million, reflecting the company’s normal seasonal working-capital build, higher inventory and capital expenditures. Net leverage consequently rose to 3.39× at March 31 from 2.83× at the end of 2025.</w:t>
      </w:r>
    </w:p>
    <w:p>
      <w:pPr>
        <w:pStyle w:val="BodyText"/>
      </w:pPr>
      <w:r>
        <w:t xml:space="preserve">This is not inherently alarming, but it increases the importance of management’s cash conversion commentary. Ball must generate a substantial working-capital release in the remainder of the year to deliver:</w:t>
      </w:r>
    </w:p>
    <w:p>
      <w:pPr>
        <w:pStyle w:val="Compact"/>
        <w:numPr>
          <w:ilvl w:val="0"/>
          <w:numId w:val="1008"/>
        </w:numPr>
      </w:pPr>
      <w:r>
        <w:t xml:space="preserve">More than $900 million of full-year free cash flow.</w:t>
      </w:r>
    </w:p>
    <w:p>
      <w:pPr>
        <w:pStyle w:val="Compact"/>
        <w:numPr>
          <w:ilvl w:val="0"/>
          <w:numId w:val="1008"/>
        </w:numPr>
      </w:pPr>
      <w:r>
        <w:t xml:space="preserve">Approximately 2.7× year-end leverage.</w:t>
      </w:r>
    </w:p>
    <w:p>
      <w:pPr>
        <w:pStyle w:val="Compact"/>
        <w:numPr>
          <w:ilvl w:val="0"/>
          <w:numId w:val="1008"/>
        </w:numPr>
      </w:pPr>
      <w:r>
        <w:t xml:space="preserve">At least $600 million of repurchases.</w:t>
      </w:r>
    </w:p>
    <w:p>
      <w:pPr>
        <w:pStyle w:val="Compact"/>
        <w:numPr>
          <w:ilvl w:val="0"/>
          <w:numId w:val="1008"/>
        </w:numPr>
      </w:pPr>
      <w:r>
        <w:t xml:space="preserve">Funding for Millersburg and other growth projects.</w:t>
      </w:r>
    </w:p>
    <w:p>
      <w:pPr>
        <w:pStyle w:val="FirstParagraph"/>
      </w:pPr>
      <w:r>
        <w:t xml:space="preserve">Repurchase activity was minimal in Q1, meaning the capital-return program also needs to accelerate. Any reduction in the buyback target, absent a compelling investment opportunity, would likely be received poorly.</w:t>
      </w:r>
    </w:p>
    <w:bookmarkEnd w:id="16"/>
    <w:bookmarkStart w:id="20" w:name="other-issues-to-monitor"/>
    <w:p>
      <w:pPr>
        <w:pStyle w:val="Heading2"/>
      </w:pPr>
      <w:r>
        <w:t xml:space="preserve">Other issues to monitor</w:t>
      </w:r>
    </w:p>
    <w:bookmarkStart w:id="17" w:name="aluminum-and-inflation"/>
    <w:p>
      <w:pPr>
        <w:pStyle w:val="Heading3"/>
      </w:pPr>
      <w:r>
        <w:t xml:space="preserve">Aluminum and inflation</w:t>
      </w:r>
    </w:p>
    <w:p>
      <w:pPr>
        <w:pStyle w:val="FirstParagraph"/>
      </w:pPr>
      <w:r>
        <w:t xml:space="preserve">Ball generally passes aluminum costs through to customers immediately, while freight and several other inputs are either customer-paid, hedged or reset formulaically. Direct aluminum inflation therefore creates more revenue volatility than profit volatility.</w:t>
      </w:r>
    </w:p>
    <w:p>
      <w:pPr>
        <w:pStyle w:val="BodyText"/>
      </w:pPr>
      <w:r>
        <w:t xml:space="preserve">The indirect risk is demand: higher package costs can eventually reach consumers. Management’s comments on customer promotional activity, multipacks and price elasticity may be more important than the aluminum price itself.</w:t>
      </w:r>
    </w:p>
    <w:bookmarkEnd w:id="17"/>
    <w:bookmarkStart w:id="18" w:name="capacity-discipline"/>
    <w:p>
      <w:pPr>
        <w:pStyle w:val="Heading3"/>
      </w:pPr>
      <w:r>
        <w:t xml:space="preserve">Capacity discipline</w:t>
      </w:r>
    </w:p>
    <w:p>
      <w:pPr>
        <w:pStyle w:val="FirstParagraph"/>
      </w:pPr>
      <w:r>
        <w:t xml:space="preserve">Ball says it is fully contracted for 2026, more than 90% contracted for 2027 and approximately 50% contracted through the balance of the decade. Millersburg also has a long-term customer offtake agreement.</w:t>
      </w:r>
    </w:p>
    <w:p>
      <w:pPr>
        <w:pStyle w:val="BodyText"/>
      </w:pPr>
      <w:r>
        <w:t xml:space="preserve">That reduces the risk that Ball is adding speculative capacity. Investors should nevertheless watch whether Benepack and Millersburg can ramp without excessive start-up costs or operational disruption.</w:t>
      </w:r>
    </w:p>
    <w:bookmarkEnd w:id="18"/>
    <w:bookmarkStart w:id="19" w:name="reporting-changes"/>
    <w:p>
      <w:pPr>
        <w:pStyle w:val="Heading3"/>
      </w:pPr>
      <w:r>
        <w:t xml:space="preserve">Reporting changes</w:t>
      </w:r>
    </w:p>
    <w:p>
      <w:pPr>
        <w:pStyle w:val="FirstParagraph"/>
      </w:pPr>
      <w:r>
        <w:t xml:space="preserve">Beginning in Q1, Ball:</w:t>
      </w:r>
    </w:p>
    <w:p>
      <w:pPr>
        <w:pStyle w:val="Compact"/>
        <w:numPr>
          <w:ilvl w:val="0"/>
          <w:numId w:val="1009"/>
        </w:numPr>
      </w:pPr>
      <w:r>
        <w:t xml:space="preserve">Moved India and Myanmar into EMEA.</w:t>
      </w:r>
    </w:p>
    <w:p>
      <w:pPr>
        <w:pStyle w:val="Compact"/>
        <w:numPr>
          <w:ilvl w:val="0"/>
          <w:numId w:val="1009"/>
        </w:numPr>
      </w:pPr>
      <w:r>
        <w:t xml:space="preserve">Recast historical segment results.</w:t>
      </w:r>
    </w:p>
    <w:p>
      <w:pPr>
        <w:pStyle w:val="Compact"/>
        <w:numPr>
          <w:ilvl w:val="0"/>
          <w:numId w:val="1009"/>
        </w:numPr>
      </w:pPr>
      <w:r>
        <w:t xml:space="preserve">Excluded several financing-related items from comparable operating earnings.</w:t>
      </w:r>
    </w:p>
    <w:p>
      <w:pPr>
        <w:pStyle w:val="Compact"/>
        <w:numPr>
          <w:ilvl w:val="0"/>
          <w:numId w:val="1009"/>
        </w:numPr>
      </w:pPr>
      <w:r>
        <w:t xml:space="preserve">Continued to include financing effects in comparable net earnings and EPS.</w:t>
      </w:r>
    </w:p>
    <w:p>
      <w:pPr>
        <w:pStyle w:val="FirstParagraph"/>
      </w:pPr>
      <w:r>
        <w:t xml:space="preserve">Year-over-year comparisons should therefore use the recast figures. Management’s new preferred operating metric—</w:t>
      </w:r>
      <w:r>
        <w:rPr>
          <w:b/>
          <w:bCs/>
        </w:rPr>
        <w:t xml:space="preserve">profit per can</w:t>
      </w:r>
      <w:r>
        <w:t xml:space="preserve">—should be particularly informative if it provides enough detail to distinguish price, mix, currency and productivity.</w:t>
      </w:r>
    </w:p>
    <w:bookmarkEnd w:id="19"/>
    <w:bookmarkEnd w:id="20"/>
    <w:bookmarkStart w:id="24" w:name="bull-base-and-bear-interpretations"/>
    <w:p>
      <w:pPr>
        <w:pStyle w:val="Heading2"/>
      </w:pPr>
      <w:r>
        <w:t xml:space="preserve">Bull, base and bear interpretations</w:t>
      </w:r>
    </w:p>
    <w:bookmarkStart w:id="21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0"/>
        </w:numPr>
      </w:pPr>
      <w:r>
        <w:t xml:space="preserve">Global volumes remain in the mid-single-digit range.</w:t>
      </w:r>
    </w:p>
    <w:p>
      <w:pPr>
        <w:pStyle w:val="Compact"/>
        <w:numPr>
          <w:ilvl w:val="0"/>
          <w:numId w:val="1010"/>
        </w:numPr>
      </w:pPr>
      <w:r>
        <w:t xml:space="preserve">South America sustains its April rebound.</w:t>
      </w:r>
    </w:p>
    <w:p>
      <w:pPr>
        <w:pStyle w:val="Compact"/>
        <w:numPr>
          <w:ilvl w:val="0"/>
          <w:numId w:val="1010"/>
        </w:numPr>
      </w:pPr>
      <w:r>
        <w:t xml:space="preserve">EMEA posts another quarter of strong operating leverage.</w:t>
      </w:r>
    </w:p>
    <w:p>
      <w:pPr>
        <w:pStyle w:val="Compact"/>
        <w:numPr>
          <w:ilvl w:val="0"/>
          <w:numId w:val="1010"/>
        </w:numPr>
      </w:pPr>
      <w:r>
        <w:t xml:space="preserve">North American base-business profitability improves despite start-up costs.</w:t>
      </w:r>
    </w:p>
    <w:p>
      <w:pPr>
        <w:pStyle w:val="Compact"/>
        <w:numPr>
          <w:ilvl w:val="0"/>
          <w:numId w:val="1010"/>
        </w:numPr>
      </w:pPr>
      <w:r>
        <w:t xml:space="preserve">Full-year EPS, free-cash-flow and buyback guidance are reaffirmed or raised.</w:t>
      </w:r>
    </w:p>
    <w:bookmarkEnd w:id="21"/>
    <w:bookmarkStart w:id="22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1"/>
        </w:numPr>
      </w:pPr>
      <w:r>
        <w:t xml:space="preserve">Volumes grow low to mid single digits.</w:t>
      </w:r>
    </w:p>
    <w:p>
      <w:pPr>
        <w:pStyle w:val="Compact"/>
        <w:numPr>
          <w:ilvl w:val="0"/>
          <w:numId w:val="1011"/>
        </w:numPr>
      </w:pPr>
      <w:r>
        <w:t xml:space="preserve">EMEA and South America offset muted North American earnings.</w:t>
      </w:r>
    </w:p>
    <w:p>
      <w:pPr>
        <w:pStyle w:val="Compact"/>
        <w:numPr>
          <w:ilvl w:val="0"/>
          <w:numId w:val="1011"/>
        </w:numPr>
      </w:pPr>
      <w:r>
        <w:t xml:space="preserve">Start-up spending limits consolidated operating leverage.</w:t>
      </w:r>
    </w:p>
    <w:p>
      <w:pPr>
        <w:pStyle w:val="Compact"/>
        <w:numPr>
          <w:ilvl w:val="0"/>
          <w:numId w:val="1011"/>
        </w:numPr>
      </w:pPr>
      <w:r>
        <w:t xml:space="preserve">Management reiterates its full-year framework and emphasizes stronger second-half cash generation.</w:t>
      </w:r>
    </w:p>
    <w:bookmarkEnd w:id="22"/>
    <w:bookmarkStart w:id="23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2"/>
        </w:numPr>
      </w:pPr>
      <w:r>
        <w:t xml:space="preserve">South America’s April strength proves temporary.</w:t>
      </w:r>
    </w:p>
    <w:p>
      <w:pPr>
        <w:pStyle w:val="Compact"/>
        <w:numPr>
          <w:ilvl w:val="0"/>
          <w:numId w:val="1012"/>
        </w:numPr>
      </w:pPr>
      <w:r>
        <w:t xml:space="preserve">North American mix and network inefficiencies combine with start-up costs to pressure earnings materially.</w:t>
      </w:r>
    </w:p>
    <w:p>
      <w:pPr>
        <w:pStyle w:val="Compact"/>
        <w:numPr>
          <w:ilvl w:val="0"/>
          <w:numId w:val="1012"/>
        </w:numPr>
      </w:pPr>
      <w:r>
        <w:t xml:space="preserve">EMEA growth depends disproportionately on currency or Benepack rather than organic improvement.</w:t>
      </w:r>
    </w:p>
    <w:p>
      <w:pPr>
        <w:pStyle w:val="Compact"/>
        <w:numPr>
          <w:ilvl w:val="0"/>
          <w:numId w:val="1012"/>
        </w:numPr>
      </w:pPr>
      <w:r>
        <w:t xml:space="preserve">Free-cash-flow, leverage or repurchase guidance is reduced.</w:t>
      </w:r>
    </w:p>
    <w:bookmarkEnd w:id="23"/>
    <w:bookmarkEnd w:id="24"/>
    <w:bookmarkStart w:id="25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most important metric in this report is not revenue and may not even be quarterly EPS. It is whether Ball is showing</w:t>
      </w:r>
      <w:r>
        <w:t xml:space="preserve"> </w:t>
      </w:r>
      <w:r>
        <w:rPr>
          <w:b/>
          <w:bCs/>
        </w:rPr>
        <w:t xml:space="preserve">sustainable improvement in operating earnings per can</w:t>
      </w:r>
      <w:r>
        <w:t xml:space="preserve">.</w:t>
      </w:r>
    </w:p>
    <w:p>
      <w:pPr>
        <w:pStyle w:val="BodyText"/>
      </w:pPr>
      <w:r>
        <w:t xml:space="preserve">Demand appears healthy, capacity is tight and the company is well contracted. Those features support the long-term thesis. The near-term debate is about conversion: can Ball translate favorable volumes into 2-to-1 operating leverage while funding new capacity, reducing leverage and returning $800 million to shareholders?</w:t>
      </w:r>
    </w:p>
    <w:p>
      <w:pPr>
        <w:pStyle w:val="BodyText"/>
      </w:pPr>
      <w:r>
        <w:t xml:space="preserve">A clean quarter would combine a durable South American recovery, continued EMEA margin progress and a manageable North American start-up-cost bridge. Guidance alone may not be enough; investors will want evidence that the operating improvements underlying that guidance are becoming more repeatable.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2026-08-04T00:49:58Z</dcterms:created>
  <dcterms:modified xsi:type="dcterms:W3CDTF">2026-08-04T00:49:58Z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