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ll-earnings-predictions--2026-08-04"/>
    <w:p>
      <w:pPr>
        <w:pStyle w:val="Heading1"/>
      </w:pPr>
      <w:r>
        <w:t xml:space="preserve">BALL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~$1.03 vs. cons $0.99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operating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~$430M vs. cons $424M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aluminum-packaging shipment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~4.8% vs. cons 3.8%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diluted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~10.0%+ vs. cons 10.5%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~$900M+ vs. cons $920M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North America start-up and end-domestication costs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~$35M vs. cons $35M (2H2026)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Enterprise beverage-volume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~2.7% vs. cons 2.3%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+4.6% (FOLLOW-THROUGH)</w:t>
            </w:r>
          </w:p>
        </w:tc>
        <w:tc>
          <w:tcPr/>
          <w:p>
            <w:pPr>
              <w:pStyle w:val="Compact"/>
            </w:pPr>
            <w:r>
              <w:t xml:space="preserve">A ~4.8% shipment result versus 3.8% consensus and a ~$1.03 EPS result versus $0.99 support modest FY2026 estimate revisions even if the formal 10.0%+ EPS-growth and $900M+ FCF guide are reiterated.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2026-08-04T00:48:19Z</dcterms:created>
  <dcterms:modified xsi:type="dcterms:W3CDTF">2026-08-04T00:48:19Z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