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b5478682c0fff559a4ae846df255d791e540d4"/>
    <w:p>
      <w:pPr>
        <w:pStyle w:val="Heading1"/>
      </w:pPr>
      <w:r>
        <w:t xml:space="preserve">Ball Corporation (NYSE: BALL) — 2Q26 Earnings Preview</w:t>
      </w:r>
    </w:p>
    <w:p>
      <w:pPr>
        <w:pStyle w:val="BlockText"/>
      </w:pPr>
      <w:r>
        <w:rPr>
          <w:b/>
          <w:bCs/>
        </w:rPr>
        <w:t xml:space="preserve">Timing note:</w:t>
      </w:r>
      <w:r>
        <w:t xml:space="preserve"> </w:t>
      </w:r>
      <w:r>
        <w:t xml:space="preserve">Today is</w:t>
      </w:r>
      <w:r>
        <w:t xml:space="preserve"> </w:t>
      </w:r>
      <w:r>
        <w:rPr>
          <w:b/>
          <w:bCs/>
        </w:rPr>
        <w:t xml:space="preserve">Tuesday, August 4, 2026</w:t>
      </w:r>
      <w:r>
        <w:t xml:space="preserve">. The event date provided—</w:t>
      </w:r>
      <w:r>
        <w:rPr>
          <w:b/>
          <w:bCs/>
        </w:rPr>
        <w:t xml:space="preserve">August 4, 2026</w:t>
      </w:r>
      <w:r>
        <w:t xml:space="preserve">—is therefore</w:t>
      </w:r>
      <w:r>
        <w:t xml:space="preserve"> </w:t>
      </w:r>
      <w:r>
        <w:rPr>
          <w:b/>
          <w:bCs/>
        </w:rPr>
        <w:t xml:space="preserve">today, not tomorrow</w:t>
      </w:r>
      <w:r>
        <w:t xml:space="preserve">. Ball has not yet posted 2Q26 results in the documents reviewed for this preview.</w:t>
      </w:r>
    </w:p>
    <w:bookmarkStart w:id="9" w:name="Xf07c48ef8ddaf8c975fa34ef5f9b0723aef13d4"/>
    <w:p>
      <w:pPr>
        <w:pStyle w:val="Heading2"/>
      </w:pPr>
      <w:r>
        <w:t xml:space="preserve">Investment view: Q2 is principally a volume-and-execution test</w:t>
      </w:r>
    </w:p>
    <w:p>
      <w:pPr>
        <w:pStyle w:val="FirstParagraph"/>
      </w:pPr>
      <w:r>
        <w:t xml:space="preserve">Ball enters its seasonally important second quarter following a strong 1Q26: comparable EPS rose</w:t>
      </w:r>
      <w:r>
        <w:t xml:space="preserve"> </w:t>
      </w:r>
      <w:r>
        <w:rPr>
          <w:b/>
          <w:bCs/>
        </w:rPr>
        <w:t xml:space="preserve">22% year over year to $0.94</w:t>
      </w:r>
      <w:r>
        <w:t xml:space="preserve">, comparable operating earnings rose</w:t>
      </w:r>
      <w:r>
        <w:t xml:space="preserve"> </w:t>
      </w:r>
      <w:r>
        <w:rPr>
          <w:b/>
          <w:bCs/>
        </w:rPr>
        <w:t xml:space="preserve">10% to $387 million</w:t>
      </w:r>
      <w:r>
        <w:t xml:space="preserve">, and global aluminum-packaging shipments increased</w:t>
      </w:r>
      <w:r>
        <w:t xml:space="preserve"> </w:t>
      </w:r>
      <w:r>
        <w:rPr>
          <w:b/>
          <w:bCs/>
        </w:rPr>
        <w:t xml:space="preserve">0.8%</w:t>
      </w:r>
      <w:r>
        <w:t xml:space="preserve">. The headline setup for 2Q is constructive because management indicated that April—the first month of the quarter—started with</w:t>
      </w:r>
      <w:r>
        <w:t xml:space="preserve"> </w:t>
      </w:r>
      <w:r>
        <w:rPr>
          <w:b/>
          <w:bCs/>
        </w:rPr>
        <w:t xml:space="preserve">mid-single-digit enterprise volume growth</w:t>
      </w:r>
      <w:r>
        <w:t xml:space="preserve">, including a</w:t>
      </w:r>
      <w:r>
        <w:t xml:space="preserve"> </w:t>
      </w:r>
      <w:r>
        <w:rPr>
          <w:b/>
          <w:bCs/>
        </w:rPr>
        <w:t xml:space="preserve">20% year-over-year increase in South America</w:t>
      </w:r>
      <w:r>
        <w:t xml:space="preserve"> </w:t>
      </w:r>
      <w:r>
        <w:t xml:space="preserve">that reversed the first-quarter weakness in that region.</w:t>
      </w:r>
    </w:p>
    <w:p>
      <w:pPr>
        <w:pStyle w:val="BodyText"/>
      </w:pPr>
      <w:r>
        <w:t xml:space="preserve">The central question is not revenue growth—where aluminum pass-through can materially influence reported sales—but whether Ball can convert better shipment trends into</w:t>
      </w:r>
      <w:r>
        <w:t xml:space="preserve"> </w:t>
      </w:r>
      <w:r>
        <w:rPr>
          <w:b/>
          <w:bCs/>
        </w:rPr>
        <w:t xml:space="preserve">profit per can</w:t>
      </w:r>
      <w:r>
        <w:t xml:space="preserve">, operating leverage, and confidence in its full-year algorithm of</w:t>
      </w:r>
      <w:r>
        <w:t xml:space="preserve"> </w:t>
      </w:r>
      <w:r>
        <w:rPr>
          <w:b/>
          <w:bCs/>
        </w:rPr>
        <w:t xml:space="preserve">10%-plus comparable EPS growth</w:t>
      </w:r>
      <w:r>
        <w:t xml:space="preserve">.</w:t>
      </w:r>
    </w:p>
    <w:bookmarkEnd w:id="9"/>
    <w:bookmarkStart w:id="14" w:name="what-matters-most-in-the-report"/>
    <w:p>
      <w:pPr>
        <w:pStyle w:val="Heading2"/>
      </w:pPr>
      <w:r>
        <w:t xml:space="preserve">What matters most in the report</w:t>
      </w:r>
    </w:p>
    <w:bookmarkStart w:id="10" w:name="X3f2908a22bd0977a4819c8edcbb41bb3dbbffe3"/>
    <w:p>
      <w:pPr>
        <w:pStyle w:val="Heading3"/>
      </w:pPr>
      <w:r>
        <w:t xml:space="preserve">1. Global volumes: April commentary set a favorable bar</w:t>
      </w:r>
    </w:p>
    <w:p>
      <w:pPr>
        <w:pStyle w:val="FirstParagraph"/>
      </w:pPr>
      <w:r>
        <w:t xml:space="preserve">In 1Q, Ball’s volume performance was mixed: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Region</w:t>
            </w:r>
          </w:p>
        </w:tc>
        <w:tc>
          <w:tcPr/>
          <w:p>
            <w:pPr>
              <w:pStyle w:val="Compact"/>
              <w:jc w:val="right"/>
            </w:pPr>
            <w:r>
              <w:t xml:space="preserve">1Q26 volume trend</w:t>
            </w:r>
          </w:p>
        </w:tc>
        <w:tc>
          <w:tcPr/>
          <w:p>
            <w:pPr>
              <w:pStyle w:val="Compact"/>
              <w:jc w:val="right"/>
            </w:pPr>
            <w:r>
              <w:t xml:space="preserve">1Q26 comparable operating earnings</w:t>
            </w:r>
          </w:p>
        </w:tc>
      </w:tr>
      <w:tr>
        <w:tc>
          <w:tcPr/>
          <w:p>
            <w:pPr>
              <w:pStyle w:val="Compact"/>
            </w:pPr>
            <w:r>
              <w:t xml:space="preserve">North &amp; Central America</w:t>
            </w:r>
          </w:p>
        </w:tc>
        <w:tc>
          <w:tcPr/>
          <w:p>
            <w:pPr>
              <w:pStyle w:val="Compact"/>
              <w:jc w:val="right"/>
            </w:pPr>
            <w:r>
              <w:t xml:space="preserve">Low-single-digit growth</w:t>
            </w:r>
          </w:p>
        </w:tc>
        <w:tc>
          <w:tcPr/>
          <w:p>
            <w:pPr>
              <w:pStyle w:val="Compact"/>
              <w:jc w:val="right"/>
            </w:pPr>
            <w:r>
              <w:t xml:space="preserve">$205M, +2.5% YoY</w:t>
            </w:r>
          </w:p>
        </w:tc>
      </w:tr>
      <w:tr>
        <w:tc>
          <w:tcPr/>
          <w:p>
            <w:pPr>
              <w:pStyle w:val="Compact"/>
            </w:pPr>
            <w:r>
              <w:t xml:space="preserve">EMEA</w:t>
            </w:r>
          </w:p>
        </w:tc>
        <w:tc>
          <w:tcPr/>
          <w:p>
            <w:pPr>
              <w:pStyle w:val="Compact"/>
              <w:jc w:val="right"/>
            </w:pPr>
            <w:r>
              <w:t xml:space="preserve">Low-single-digit growth</w:t>
            </w:r>
          </w:p>
        </w:tc>
        <w:tc>
          <w:tcPr/>
          <w:p>
            <w:pPr>
              <w:pStyle w:val="Compact"/>
              <w:jc w:val="right"/>
            </w:pPr>
            <w:r>
              <w:t xml:space="preserve">$134M, +20% YoY</w:t>
            </w:r>
          </w:p>
        </w:tc>
      </w:tr>
      <w:tr>
        <w:tc>
          <w:tcPr/>
          <w:p>
            <w:pPr>
              <w:pStyle w:val="Compact"/>
            </w:pPr>
            <w:r>
              <w:t xml:space="preserve">South America</w:t>
            </w:r>
          </w:p>
        </w:tc>
        <w:tc>
          <w:tcPr/>
          <w:p>
            <w:pPr>
              <w:pStyle w:val="Compact"/>
              <w:jc w:val="right"/>
            </w:pPr>
            <w:r>
              <w:t xml:space="preserve">Mid-single-digit decline</w:t>
            </w:r>
          </w:p>
        </w:tc>
        <w:tc>
          <w:tcPr/>
          <w:p>
            <w:pPr>
              <w:pStyle w:val="Compact"/>
              <w:jc w:val="right"/>
            </w:pPr>
            <w:r>
              <w:t xml:space="preserve">$67M, flat YoY</w:t>
            </w:r>
          </w:p>
        </w:tc>
      </w:tr>
      <w:tr>
        <w:tc>
          <w:tcPr/>
          <w:p>
            <w:pPr>
              <w:pStyle w:val="Compact"/>
            </w:pPr>
            <w:r>
              <w:rPr>
                <w:b/>
                <w:bCs/>
              </w:rPr>
              <w:t xml:space="preserve">Global</w:t>
            </w:r>
          </w:p>
        </w:tc>
        <w:tc>
          <w:tcPr/>
          <w:p>
            <w:pPr>
              <w:pStyle w:val="Compact"/>
              <w:jc w:val="right"/>
            </w:pPr>
            <w:r>
              <w:rPr>
                <w:b/>
                <w:bCs/>
              </w:rPr>
              <w:t xml:space="preserve">+0.8%</w:t>
            </w:r>
          </w:p>
        </w:tc>
        <w:tc>
          <w:tcPr/>
          <w:p>
            <w:pPr>
              <w:pStyle w:val="Compact"/>
              <w:jc w:val="right"/>
            </w:pPr>
            <w:r>
              <w:rPr>
                <w:b/>
                <w:bCs/>
              </w:rPr>
              <w:t xml:space="preserve">$387M total, +9.9% YoY</w:t>
            </w:r>
          </w:p>
        </w:tc>
      </w:tr>
    </w:tbl>
    <w:p>
      <w:pPr>
        <w:pStyle w:val="BodyText"/>
      </w:pPr>
      <w:r>
        <w:t xml:space="preserve">For 2Q, investors will focus on whether the reported shipment growth supports management’s April exit-rate commentary. The most important regional proof points are:</w:t>
      </w:r>
    </w:p>
    <w:p>
      <w:pPr>
        <w:pStyle w:val="Compact"/>
        <w:numPr>
          <w:ilvl w:val="0"/>
          <w:numId w:val="1001"/>
        </w:numPr>
      </w:pPr>
      <w:r>
        <w:rPr>
          <w:b/>
          <w:bCs/>
        </w:rPr>
        <w:t xml:space="preserve">South America:</w:t>
      </w:r>
      <w:r>
        <w:t xml:space="preserve"> </w:t>
      </w:r>
      <w:r>
        <w:t xml:space="preserve">Management said April’s 20% growth offset the first-quarter decline, leaving year-to-date volume roughly flat. A sustained recovery would validate the view that 1Q weakness reflected customer inventory timing and weather, rather than a demand problem.</w:t>
      </w:r>
    </w:p>
    <w:p>
      <w:pPr>
        <w:pStyle w:val="Compact"/>
        <w:numPr>
          <w:ilvl w:val="0"/>
          <w:numId w:val="1001"/>
        </w:numPr>
      </w:pPr>
      <w:r>
        <w:rPr>
          <w:b/>
          <w:bCs/>
        </w:rPr>
        <w:t xml:space="preserve">North America:</w:t>
      </w:r>
      <w:r>
        <w:t xml:space="preserve"> </w:t>
      </w:r>
      <w:r>
        <w:t xml:space="preserve">Demand is healthy—especially in energy drinks and nonalcoholic beverages—but Ball remains capacity constrained. That caps near-term volume upside, making price/mix and plant efficiency particularly important.</w:t>
      </w:r>
    </w:p>
    <w:p>
      <w:pPr>
        <w:pStyle w:val="Compact"/>
        <w:numPr>
          <w:ilvl w:val="0"/>
          <w:numId w:val="1001"/>
        </w:numPr>
      </w:pPr>
      <w:r>
        <w:rPr>
          <w:b/>
          <w:bCs/>
        </w:rPr>
        <w:t xml:space="preserve">EMEA:</w:t>
      </w:r>
      <w:r>
        <w:t xml:space="preserve"> </w:t>
      </w:r>
      <w:r>
        <w:t xml:space="preserve">Organic growth, Benepack contribution, customer demand, and the integration of the Belgium and Hungary facilities will be in focus.</w:t>
      </w:r>
    </w:p>
    <w:bookmarkEnd w:id="10"/>
    <w:bookmarkStart w:id="11" w:name="X5c2ad7efd794ba2cac4f3b335f5ec2594c7999b"/>
    <w:p>
      <w:pPr>
        <w:pStyle w:val="Heading3"/>
      </w:pPr>
      <w:r>
        <w:t xml:space="preserve">2. Operating leverage and “profit per can”</w:t>
      </w:r>
    </w:p>
    <w:p>
      <w:pPr>
        <w:pStyle w:val="FirstParagraph"/>
      </w:pPr>
      <w:r>
        <w:t xml:space="preserve">Ball’s new leadership has made</w:t>
      </w:r>
      <w:r>
        <w:t xml:space="preserve"> </w:t>
      </w:r>
      <w:r>
        <w:rPr>
          <w:b/>
          <w:bCs/>
        </w:rPr>
        <w:t xml:space="preserve">operating earnings per can</w:t>
      </w:r>
      <w:r>
        <w:t xml:space="preserve"> </w:t>
      </w:r>
      <w:r>
        <w:t xml:space="preserve">its key operating metric. That framing matters because reported sales can move with aluminum prices, while earnings per can better captures underlying manufacturing execution, mix, cost management, and customer value-add.</w:t>
      </w:r>
    </w:p>
    <w:p>
      <w:pPr>
        <w:pStyle w:val="BodyText"/>
      </w:pPr>
      <w:r>
        <w:t xml:space="preserve">The first quarter showed the potential: operating earnings grew 10% despite global shipments rising less than 1%. The second-quarter report needs to demonstrate that this was not simply a favorable first-quarter mix or foreign-exchange outcome.</w:t>
      </w:r>
    </w:p>
    <w:p>
      <w:pPr>
        <w:pStyle w:val="BodyText"/>
      </w:pPr>
      <w:r>
        <w:t xml:space="preserve">Key areas to watch:</w:t>
      </w:r>
    </w:p>
    <w:p>
      <w:pPr>
        <w:pStyle w:val="Compact"/>
        <w:numPr>
          <w:ilvl w:val="0"/>
          <w:numId w:val="1002"/>
        </w:numPr>
      </w:pPr>
      <w:r>
        <w:t xml:space="preserve">Whether North America can improve earnings despite capacity limitations.</w:t>
      </w:r>
    </w:p>
    <w:p>
      <w:pPr>
        <w:pStyle w:val="Compact"/>
        <w:numPr>
          <w:ilvl w:val="0"/>
          <w:numId w:val="1002"/>
        </w:numPr>
      </w:pPr>
      <w:r>
        <w:t xml:space="preserve">Whether EMEA’s strong profit growth remains largely operational rather than FX-driven.</w:t>
      </w:r>
    </w:p>
    <w:p>
      <w:pPr>
        <w:pStyle w:val="Compact"/>
        <w:numPr>
          <w:ilvl w:val="0"/>
          <w:numId w:val="1002"/>
        </w:numPr>
      </w:pPr>
      <w:r>
        <w:t xml:space="preserve">Whether South America’s volume recovery produces incremental profit rather than merely restoring utilization.</w:t>
      </w:r>
    </w:p>
    <w:p>
      <w:pPr>
        <w:pStyle w:val="Compact"/>
        <w:numPr>
          <w:ilvl w:val="0"/>
          <w:numId w:val="1002"/>
        </w:numPr>
      </w:pPr>
      <w:r>
        <w:t xml:space="preserve">Any indication that energy, freight, labor, or other costs are outpacing contractual recovery mechanisms.</w:t>
      </w:r>
    </w:p>
    <w:p>
      <w:pPr>
        <w:pStyle w:val="FirstParagraph"/>
      </w:pPr>
      <w:r>
        <w:t xml:space="preserve">Ball’s contracts generally pass aluminum through quickly, while some other input costs are recovered through formulaic arrangements. This makes the business comparatively resilient to commodity inflation, but it also means</w:t>
      </w:r>
      <w:r>
        <w:t xml:space="preserve"> </w:t>
      </w:r>
      <w:r>
        <w:rPr>
          <w:b/>
          <w:bCs/>
        </w:rPr>
        <w:t xml:space="preserve">volume, utilization, and conversion economics</w:t>
      </w:r>
      <w:r>
        <w:t xml:space="preserve"> </w:t>
      </w:r>
      <w:r>
        <w:t xml:space="preserve">are the better indicators of fundamental performance.</w:t>
      </w:r>
    </w:p>
    <w:bookmarkEnd w:id="11"/>
    <w:bookmarkStart w:id="12" w:name="X680ba4e0484b456b6df460a969cd719a0382faf"/>
    <w:p>
      <w:pPr>
        <w:pStyle w:val="Heading3"/>
      </w:pPr>
      <w:r>
        <w:t xml:space="preserve">3. EMEA: strong momentum, but distinguish organic execution from acquisition and FX</w:t>
      </w:r>
    </w:p>
    <w:p>
      <w:pPr>
        <w:pStyle w:val="FirstParagraph"/>
      </w:pPr>
      <w:r>
        <w:t xml:space="preserve">EMEA was the standout in 1Q: comparable operating earnings increased to</w:t>
      </w:r>
      <w:r>
        <w:t xml:space="preserve"> </w:t>
      </w:r>
      <w:r>
        <w:rPr>
          <w:b/>
          <w:bCs/>
        </w:rPr>
        <w:t xml:space="preserve">$134 million from $111 million</w:t>
      </w:r>
      <w:r>
        <w:t xml:space="preserve">, with low-single-digit volume growth. Ball acquired an 80% stake in Benepack’s two facilities in Belgium and Hungary in January, expanding its regional footprint.</w:t>
      </w:r>
    </w:p>
    <w:p>
      <w:pPr>
        <w:pStyle w:val="BodyText"/>
      </w:pPr>
      <w:r>
        <w:t xml:space="preserve">For Q2, the market should separate:</w:t>
      </w:r>
    </w:p>
    <w:p>
      <w:pPr>
        <w:pStyle w:val="Compact"/>
        <w:numPr>
          <w:ilvl w:val="0"/>
          <w:numId w:val="1003"/>
        </w:numPr>
      </w:pPr>
      <w:r>
        <w:rPr>
          <w:b/>
          <w:bCs/>
        </w:rPr>
        <w:t xml:space="preserve">Underlying volume growth and utilization</w:t>
      </w:r>
    </w:p>
    <w:p>
      <w:pPr>
        <w:pStyle w:val="Compact"/>
        <w:numPr>
          <w:ilvl w:val="0"/>
          <w:numId w:val="1003"/>
        </w:numPr>
      </w:pPr>
      <w:r>
        <w:rPr>
          <w:b/>
          <w:bCs/>
        </w:rPr>
        <w:t xml:space="preserve">Benepack’s acquired contribution</w:t>
      </w:r>
    </w:p>
    <w:p>
      <w:pPr>
        <w:pStyle w:val="Compact"/>
        <w:numPr>
          <w:ilvl w:val="0"/>
          <w:numId w:val="1003"/>
        </w:numPr>
      </w:pPr>
      <w:r>
        <w:rPr>
          <w:b/>
          <w:bCs/>
        </w:rPr>
        <w:t xml:space="preserve">Currency translation</w:t>
      </w:r>
    </w:p>
    <w:p>
      <w:pPr>
        <w:pStyle w:val="Compact"/>
        <w:numPr>
          <w:ilvl w:val="0"/>
          <w:numId w:val="1003"/>
        </w:numPr>
      </w:pPr>
      <w:r>
        <w:rPr>
          <w:b/>
          <w:bCs/>
        </w:rPr>
        <w:t xml:space="preserve">Operational improvement in profit per can</w:t>
      </w:r>
    </w:p>
    <w:p>
      <w:pPr>
        <w:pStyle w:val="FirstParagraph"/>
      </w:pPr>
      <w:r>
        <w:t xml:space="preserve">Management expects 2026 EMEA shipment growth to exceed its long-term</w:t>
      </w:r>
      <w:r>
        <w:t xml:space="preserve"> </w:t>
      </w:r>
      <w:r>
        <w:rPr>
          <w:b/>
          <w:bCs/>
        </w:rPr>
        <w:t xml:space="preserve">3%–5%</w:t>
      </w:r>
      <w:r>
        <w:t xml:space="preserve"> </w:t>
      </w:r>
      <w:r>
        <w:t xml:space="preserve">range with Benepack included and has targeted roughly</w:t>
      </w:r>
      <w:r>
        <w:t xml:space="preserve"> </w:t>
      </w:r>
      <w:r>
        <w:rPr>
          <w:b/>
          <w:bCs/>
        </w:rPr>
        <w:t xml:space="preserve">2x operating leverage</w:t>
      </w:r>
      <w:r>
        <w:t xml:space="preserve">. That is an ambitious but credible framework if the acquired plants fill effectively and the broader European business continues to execute.</w:t>
      </w:r>
    </w:p>
    <w:bookmarkEnd w:id="12"/>
    <w:bookmarkStart w:id="13" w:name="X17023db8cea70cc992f4a68867999b3a1f9714f"/>
    <w:p>
      <w:pPr>
        <w:pStyle w:val="Heading3"/>
      </w:pPr>
      <w:r>
        <w:t xml:space="preserve">4. Full-year guidance: reaffirmation should matter as much as the quarterly print</w:t>
      </w:r>
    </w:p>
    <w:p>
      <w:pPr>
        <w:pStyle w:val="FirstParagraph"/>
      </w:pPr>
      <w:r>
        <w:t xml:space="preserve">Ball’s current 2026 framework is:</w:t>
      </w:r>
    </w:p>
    <w:p>
      <w:pPr>
        <w:pStyle w:val="Compact"/>
        <w:numPr>
          <w:ilvl w:val="0"/>
          <w:numId w:val="1004"/>
        </w:numPr>
      </w:pPr>
      <w:r>
        <w:rPr>
          <w:b/>
          <w:bCs/>
        </w:rPr>
        <w:t xml:space="preserve">Comparable diluted EPS growth:</w:t>
      </w:r>
      <w:r>
        <w:t xml:space="preserve"> </w:t>
      </w:r>
      <w:r>
        <w:t xml:space="preserve">10%+</w:t>
      </w:r>
    </w:p>
    <w:p>
      <w:pPr>
        <w:pStyle w:val="Compact"/>
        <w:numPr>
          <w:ilvl w:val="0"/>
          <w:numId w:val="1004"/>
        </w:numPr>
      </w:pPr>
      <w:r>
        <w:rPr>
          <w:b/>
          <w:bCs/>
        </w:rPr>
        <w:t xml:space="preserve">Free cash flow:</w:t>
      </w:r>
      <w:r>
        <w:t xml:space="preserve"> </w:t>
      </w:r>
      <w:r>
        <w:t xml:space="preserve">more than</w:t>
      </w:r>
      <w:r>
        <w:t xml:space="preserve"> </w:t>
      </w:r>
      <w:r>
        <w:rPr>
          <w:b/>
          <w:bCs/>
        </w:rPr>
        <w:t xml:space="preserve">$900 million</w:t>
      </w:r>
    </w:p>
    <w:p>
      <w:pPr>
        <w:pStyle w:val="Compact"/>
        <w:numPr>
          <w:ilvl w:val="0"/>
          <w:numId w:val="1004"/>
        </w:numPr>
      </w:pPr>
      <w:r>
        <w:rPr>
          <w:b/>
          <w:bCs/>
        </w:rPr>
        <w:t xml:space="preserve">Share repurchases:</w:t>
      </w:r>
      <w:r>
        <w:t xml:space="preserve"> </w:t>
      </w:r>
      <w:r>
        <w:t xml:space="preserve">at least</w:t>
      </w:r>
      <w:r>
        <w:t xml:space="preserve"> </w:t>
      </w:r>
      <w:r>
        <w:rPr>
          <w:b/>
          <w:bCs/>
        </w:rPr>
        <w:t xml:space="preserve">$600 million</w:t>
      </w:r>
    </w:p>
    <w:p>
      <w:pPr>
        <w:pStyle w:val="Compact"/>
        <w:numPr>
          <w:ilvl w:val="0"/>
          <w:numId w:val="1004"/>
        </w:numPr>
      </w:pPr>
      <w:r>
        <w:rPr>
          <w:b/>
          <w:bCs/>
        </w:rPr>
        <w:t xml:space="preserve">Total shareholder return:</w:t>
      </w:r>
      <w:r>
        <w:t xml:space="preserve"> </w:t>
      </w:r>
      <w:r>
        <w:t xml:space="preserve">about</w:t>
      </w:r>
      <w:r>
        <w:t xml:space="preserve"> </w:t>
      </w:r>
      <w:r>
        <w:rPr>
          <w:b/>
          <w:bCs/>
        </w:rPr>
        <w:t xml:space="preserve">$800 million</w:t>
      </w:r>
      <w:r>
        <w:t xml:space="preserve">, including dividends</w:t>
      </w:r>
    </w:p>
    <w:p>
      <w:pPr>
        <w:pStyle w:val="Compact"/>
        <w:numPr>
          <w:ilvl w:val="0"/>
          <w:numId w:val="1004"/>
        </w:numPr>
      </w:pPr>
      <w:r>
        <w:rPr>
          <w:b/>
          <w:bCs/>
        </w:rPr>
        <w:t xml:space="preserve">Comparable effective tax rate:</w:t>
      </w:r>
      <w:r>
        <w:t xml:space="preserve"> </w:t>
      </w:r>
      <w:r>
        <w:t xml:space="preserve">slightly above 23%</w:t>
      </w:r>
    </w:p>
    <w:p>
      <w:pPr>
        <w:pStyle w:val="Compact"/>
        <w:numPr>
          <w:ilvl w:val="0"/>
          <w:numId w:val="1004"/>
        </w:numPr>
      </w:pPr>
      <w:r>
        <w:rPr>
          <w:b/>
          <w:bCs/>
        </w:rPr>
        <w:t xml:space="preserve">Interest expense:</w:t>
      </w:r>
      <w:r>
        <w:t xml:space="preserve"> </w:t>
      </w:r>
      <w:r>
        <w:t xml:space="preserve">approximately</w:t>
      </w:r>
      <w:r>
        <w:t xml:space="preserve"> </w:t>
      </w:r>
      <w:r>
        <w:rPr>
          <w:b/>
          <w:bCs/>
        </w:rPr>
        <w:t xml:space="preserve">$320 million</w:t>
      </w:r>
    </w:p>
    <w:p>
      <w:pPr>
        <w:pStyle w:val="Compact"/>
        <w:numPr>
          <w:ilvl w:val="0"/>
          <w:numId w:val="1004"/>
        </w:numPr>
      </w:pPr>
      <w:r>
        <w:rPr>
          <w:b/>
          <w:bCs/>
        </w:rPr>
        <w:t xml:space="preserve">Year-end net leverage:</w:t>
      </w:r>
      <w:r>
        <w:t xml:space="preserve"> </w:t>
      </w:r>
      <w:r>
        <w:t xml:space="preserve">approximately</w:t>
      </w:r>
      <w:r>
        <w:t xml:space="preserve"> </w:t>
      </w:r>
      <w:r>
        <w:rPr>
          <w:b/>
          <w:bCs/>
        </w:rPr>
        <w:t xml:space="preserve">2.7x net debt / comparable EBITDA</w:t>
      </w:r>
    </w:p>
    <w:p>
      <w:pPr>
        <w:pStyle w:val="FirstParagraph"/>
      </w:pPr>
      <w:r>
        <w:t xml:space="preserve">With first-quarter comparable EPS already at $0.94 versus $0.77 a year earlier, the company has a solid start. Still, the report needs to address whether higher aluminum prices, macro uncertainty, customer consumption trends, and second-half start-up costs alter the path to that full-year target.</w:t>
      </w:r>
    </w:p>
    <w:p>
      <w:pPr>
        <w:pStyle w:val="BodyText"/>
      </w:pPr>
      <w:r>
        <w:t xml:space="preserve">A reaffirmation—especially if paired with confidence in volume trends—would likely be read favorably. Conversely, unchanged guidance accompanied by softer commentary on consumer demand, utilization, or pricing could be viewed as less reassuring.</w:t>
      </w:r>
    </w:p>
    <w:bookmarkEnd w:id="13"/>
    <w:bookmarkEnd w:id="14"/>
    <w:bookmarkStart w:id="15" w:name="X979db89ae134f0d276883ab97e82dae39ee7bed"/>
    <w:p>
      <w:pPr>
        <w:pStyle w:val="Heading2"/>
      </w:pPr>
      <w:r>
        <w:t xml:space="preserve">The key second-half issue: North American start-up costs</w:t>
      </w:r>
    </w:p>
    <w:p>
      <w:pPr>
        <w:pStyle w:val="FirstParagraph"/>
      </w:pPr>
      <w:r>
        <w:t xml:space="preserve">The largest identifiable near-term earnings headwind is approximately</w:t>
      </w:r>
      <w:r>
        <w:t xml:space="preserve"> </w:t>
      </w:r>
      <w:r>
        <w:rPr>
          <w:b/>
          <w:bCs/>
        </w:rPr>
        <w:t xml:space="preserve">$35 million</w:t>
      </w:r>
      <w:r>
        <w:t xml:space="preserve"> </w:t>
      </w:r>
      <w:r>
        <w:t xml:space="preserve">of costs associated with:</w:t>
      </w:r>
    </w:p>
    <w:p>
      <w:pPr>
        <w:pStyle w:val="Compact"/>
        <w:numPr>
          <w:ilvl w:val="0"/>
          <w:numId w:val="1005"/>
        </w:numPr>
      </w:pPr>
      <w:r>
        <w:t xml:space="preserve">The ramp of Ball’s</w:t>
      </w:r>
      <w:r>
        <w:t xml:space="preserve"> </w:t>
      </w:r>
      <w:r>
        <w:rPr>
          <w:b/>
          <w:bCs/>
        </w:rPr>
        <w:t xml:space="preserve">Millersburg, Oregon</w:t>
      </w:r>
      <w:r>
        <w:t xml:space="preserve"> </w:t>
      </w:r>
      <w:r>
        <w:t xml:space="preserve">facility; and</w:t>
      </w:r>
    </w:p>
    <w:p>
      <w:pPr>
        <w:pStyle w:val="Compact"/>
        <w:numPr>
          <w:ilvl w:val="0"/>
          <w:numId w:val="1005"/>
        </w:numPr>
      </w:pPr>
      <w:r>
        <w:t xml:space="preserve">U.S.</w:t>
      </w:r>
      <w:r>
        <w:t xml:space="preserve"> </w:t>
      </w:r>
      <w:r>
        <w:rPr>
          <w:b/>
          <w:bCs/>
        </w:rPr>
        <w:t xml:space="preserve">domestication of can-end production</w:t>
      </w:r>
      <w:r>
        <w:t xml:space="preserve">.</w:t>
      </w:r>
    </w:p>
    <w:p>
      <w:pPr>
        <w:pStyle w:val="FirstParagraph"/>
      </w:pPr>
      <w:r>
        <w:t xml:space="preserve">Management has indicated these expenses begin later in 2026, with the greatest impact expected in the third quarter and potentially some spillover into the fourth. Millersburg is expected to begin commissioning late in 2026 and contribute more meaningful volume in 2027.</w:t>
      </w:r>
    </w:p>
    <w:p>
      <w:pPr>
        <w:pStyle w:val="BodyText"/>
      </w:pPr>
      <w:r>
        <w:t xml:space="preserve">This creates an important setup for the call: investors may accept a temporary margin drag if Ball demonstrates that the plant is supported by a long-term customer offtake agreement and will reduce supply-chain inefficiency in the Pacific Northwest. But management must clearly distinguish base-business operating leverage from ramp-related costs.</w:t>
      </w:r>
    </w:p>
    <w:bookmarkEnd w:id="15"/>
    <w:bookmarkStart w:id="16" w:name="X3dcc21e7bf5c426563f1aa2c1c1e4a5ecb7cefd"/>
    <w:p>
      <w:pPr>
        <w:pStyle w:val="Heading2"/>
      </w:pPr>
      <w:r>
        <w:t xml:space="preserve">Year-over-year comparison: a tougher Q2 base</w:t>
      </w:r>
    </w:p>
    <w:p>
      <w:pPr>
        <w:pStyle w:val="FirstParagraph"/>
      </w:pPr>
      <w:r>
        <w:t xml:space="preserve">The comparable 2Q25 baseline was solid: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comparable results, recast to Ball’s current reporting definition</w:t>
            </w:r>
          </w:p>
        </w:tc>
        <w:tc>
          <w:tcPr/>
          <w:p>
            <w:pPr>
              <w:pStyle w:val="Compact"/>
              <w:jc w:val="right"/>
            </w:pPr>
            <w:r>
              <w:t xml:space="preserve">Result</w:t>
            </w:r>
          </w:p>
        </w:tc>
      </w:tr>
      <w:tr>
        <w:tc>
          <w:tcPr/>
          <w:p>
            <w:pPr>
              <w:pStyle w:val="Compact"/>
            </w:pPr>
            <w:r>
              <w:t xml:space="preserve">Comparable EPS</w:t>
            </w:r>
          </w:p>
        </w:tc>
        <w:tc>
          <w:tcPr/>
          <w:p>
            <w:pPr>
              <w:pStyle w:val="Compact"/>
              <w:jc w:val="right"/>
            </w:pPr>
            <w:r>
              <w:rPr>
                <w:b/>
                <w:bCs/>
              </w:rPr>
              <w:t xml:space="preserve">$0.90</w:t>
            </w:r>
          </w:p>
        </w:tc>
      </w:tr>
      <w:tr>
        <w:tc>
          <w:tcPr/>
          <w:p>
            <w:pPr>
              <w:pStyle w:val="Compact"/>
            </w:pPr>
            <w:r>
              <w:t xml:space="preserve">Comparable operating earnings</w:t>
            </w:r>
          </w:p>
        </w:tc>
        <w:tc>
          <w:tcPr/>
          <w:p>
            <w:pPr>
              <w:pStyle w:val="Compact"/>
              <w:jc w:val="right"/>
            </w:pPr>
            <w:r>
              <w:rPr>
                <w:b/>
                <w:bCs/>
              </w:rPr>
              <w:t xml:space="preserve">$402M</w:t>
            </w:r>
          </w:p>
        </w:tc>
      </w:tr>
      <w:tr>
        <w:tc>
          <w:tcPr/>
          <w:p>
            <w:pPr>
              <w:pStyle w:val="Compact"/>
            </w:pPr>
            <w:r>
              <w:t xml:space="preserve">Global shipments</w:t>
            </w:r>
          </w:p>
        </w:tc>
        <w:tc>
          <w:tcPr/>
          <w:p>
            <w:pPr>
              <w:pStyle w:val="Compact"/>
              <w:jc w:val="right"/>
            </w:pPr>
            <w:r>
              <w:rPr>
                <w:b/>
                <w:bCs/>
              </w:rPr>
              <w:t xml:space="preserve">+4.1% YoY</w:t>
            </w:r>
          </w:p>
        </w:tc>
      </w:tr>
      <w:tr>
        <w:tc>
          <w:tcPr/>
          <w:p>
            <w:pPr>
              <w:pStyle w:val="Compact"/>
            </w:pPr>
            <w:r>
              <w:t xml:space="preserve">North &amp; Central America operating earnings</w:t>
            </w:r>
          </w:p>
        </w:tc>
        <w:tc>
          <w:tcPr/>
          <w:p>
            <w:pPr>
              <w:pStyle w:val="Compact"/>
              <w:jc w:val="right"/>
            </w:pPr>
            <w:r>
              <w:t xml:space="preserve">$212M</w:t>
            </w:r>
          </w:p>
        </w:tc>
      </w:tr>
      <w:tr>
        <w:tc>
          <w:tcPr/>
          <w:p>
            <w:pPr>
              <w:pStyle w:val="Compact"/>
            </w:pPr>
            <w:r>
              <w:t xml:space="preserve">EMEA operating earnings</w:t>
            </w:r>
          </w:p>
        </w:tc>
        <w:tc>
          <w:tcPr/>
          <w:p>
            <w:pPr>
              <w:pStyle w:val="Compact"/>
              <w:jc w:val="right"/>
            </w:pPr>
            <w:r>
              <w:t xml:space="preserve">$152M</w:t>
            </w:r>
          </w:p>
        </w:tc>
      </w:tr>
      <w:tr>
        <w:tc>
          <w:tcPr/>
          <w:p>
            <w:pPr>
              <w:pStyle w:val="Compact"/>
            </w:pPr>
            <w:r>
              <w:t xml:space="preserve">South America operating earnings</w:t>
            </w:r>
          </w:p>
        </w:tc>
        <w:tc>
          <w:tcPr/>
          <w:p>
            <w:pPr>
              <w:pStyle w:val="Compact"/>
              <w:jc w:val="right"/>
            </w:pPr>
            <w:r>
              <w:t xml:space="preserve">$50M</w:t>
            </w:r>
          </w:p>
        </w:tc>
      </w:tr>
    </w:tbl>
    <w:p>
      <w:pPr>
        <w:pStyle w:val="BodyText"/>
      </w:pPr>
      <w:r>
        <w:t xml:space="preserve">That means Ball does not need merely better sequential results versus the seasonally softer first quarter; it needs to show credible year-over-year progress against a quarter that already featured 4.1% global shipment growth.</w:t>
      </w:r>
    </w:p>
    <w:bookmarkEnd w:id="16"/>
    <w:bookmarkStart w:id="17" w:name="balance-sheet-and-capital-allocation"/>
    <w:p>
      <w:pPr>
        <w:pStyle w:val="Heading2"/>
      </w:pPr>
      <w:r>
        <w:t xml:space="preserve">Balance sheet and capital allocation</w:t>
      </w:r>
    </w:p>
    <w:p>
      <w:pPr>
        <w:pStyle w:val="FirstParagraph"/>
      </w:pPr>
      <w:r>
        <w:t xml:space="preserve">Ball ended 1Q with</w:t>
      </w:r>
      <w:r>
        <w:t xml:space="preserve"> </w:t>
      </w:r>
      <w:r>
        <w:rPr>
          <w:b/>
          <w:bCs/>
        </w:rPr>
        <w:t xml:space="preserve">$7.1 billion of net debt</w:t>
      </w:r>
      <w:r>
        <w:t xml:space="preserve"> </w:t>
      </w:r>
      <w:r>
        <w:t xml:space="preserve">and</w:t>
      </w:r>
      <w:r>
        <w:t xml:space="preserve"> </w:t>
      </w:r>
      <w:r>
        <w:rPr>
          <w:b/>
          <w:bCs/>
        </w:rPr>
        <w:t xml:space="preserve">3.39x net debt / comparable EBITDA</w:t>
      </w:r>
      <w:r>
        <w:t xml:space="preserve">, up from</w:t>
      </w:r>
      <w:r>
        <w:t xml:space="preserve"> </w:t>
      </w:r>
      <w:r>
        <w:rPr>
          <w:b/>
          <w:bCs/>
        </w:rPr>
        <w:t xml:space="preserve">2.83x</w:t>
      </w:r>
      <w:r>
        <w:t xml:space="preserve"> </w:t>
      </w:r>
      <w:r>
        <w:t xml:space="preserve">at year-end 2025, largely reflecting seasonal working-capital use, an acquisition, and cash-tax payments related to the prior aerospace disposition. Management still expects to finish 2026 near</w:t>
      </w:r>
      <w:r>
        <w:t xml:space="preserve"> </w:t>
      </w:r>
      <w:r>
        <w:rPr>
          <w:b/>
          <w:bCs/>
        </w:rPr>
        <w:t xml:space="preserve">2.7x</w:t>
      </w:r>
      <w:r>
        <w:t xml:space="preserve"> </w:t>
      </w:r>
      <w:r>
        <w:t xml:space="preserve">leverage.</w:t>
      </w:r>
    </w:p>
    <w:p>
      <w:pPr>
        <w:pStyle w:val="BodyText"/>
      </w:pPr>
      <w:r>
        <w:t xml:space="preserve">The cash-flow cadence is important. First-quarter free cash flow was predictably negative, so the 2Q update should begin to show the seasonal working-capital release needed to support the $900-million-plus full-year cash-flow goal, the buyback plan, and leverage reduction.</w:t>
      </w:r>
    </w:p>
    <w:bookmarkEnd w:id="17"/>
    <w:bookmarkStart w:id="18" w:name="stock-setup"/>
    <w:p>
      <w:pPr>
        <w:pStyle w:val="Heading2"/>
      </w:pPr>
      <w:r>
        <w:t xml:space="preserve">Stock setup</w:t>
      </w:r>
    </w:p>
    <w:p>
      <w:pPr>
        <w:pStyle w:val="FirstParagraph"/>
      </w:pPr>
      <w:r>
        <w:t xml:space="preserve">BALL closed at</w:t>
      </w:r>
      <w:r>
        <w:t xml:space="preserve"> </w:t>
      </w:r>
      <w:r>
        <w:rPr>
          <w:b/>
          <w:bCs/>
        </w:rPr>
        <w:t xml:space="preserve">$65.17 on August 3</w:t>
      </w:r>
      <w:r>
        <w:t xml:space="preserve">, up about</w:t>
      </w:r>
      <w:r>
        <w:t xml:space="preserve"> </w:t>
      </w:r>
      <w:r>
        <w:rPr>
          <w:b/>
          <w:bCs/>
        </w:rPr>
        <w:t xml:space="preserve">6.3% since May 1</w:t>
      </w:r>
      <w:r>
        <w:t xml:space="preserve"> </w:t>
      </w:r>
      <w:r>
        <w:t xml:space="preserve">and nearly</w:t>
      </w:r>
      <w:r>
        <w:t xml:space="preserve"> </w:t>
      </w:r>
      <w:r>
        <w:rPr>
          <w:b/>
          <w:bCs/>
        </w:rPr>
        <w:t xml:space="preserve">24% from its June 8 closing low of $52.62</w:t>
      </w:r>
      <w:r>
        <w:t xml:space="preserve">. The recovery suggests the market may already be giving some credit for the Q1 beat and encouraging early-Q2 volume commentary. As a result, simply meeting expectations may not be enough: the most constructive outcome would combine solid volumes, durable profit-per-can improvement, and an unambiguous reaffirmation of full-year EPS and free-cash-flow targets.</w:t>
      </w:r>
    </w:p>
    <w:bookmarkEnd w:id="18"/>
    <w:bookmarkStart w:id="19" w:name="X9116bec721e8ecc27edd7ff5882de2109353ab2"/>
    <w:p>
      <w:pPr>
        <w:pStyle w:val="Heading2"/>
      </w:pPr>
      <w:r>
        <w:t xml:space="preserve">Questions investors should ask on the call</w:t>
      </w:r>
    </w:p>
    <w:p>
      <w:pPr>
        <w:pStyle w:val="Compact"/>
        <w:numPr>
          <w:ilvl w:val="0"/>
          <w:numId w:val="1006"/>
        </w:numPr>
      </w:pPr>
      <w:r>
        <w:rPr>
          <w:b/>
          <w:bCs/>
        </w:rPr>
        <w:t xml:space="preserve">What was global shipment growth in 2Q, and did April’s mid-single-digit growth persist through May and June?</w:t>
      </w:r>
    </w:p>
    <w:p>
      <w:pPr>
        <w:pStyle w:val="Compact"/>
        <w:numPr>
          <w:ilvl w:val="0"/>
          <w:numId w:val="1006"/>
        </w:numPr>
      </w:pPr>
      <w:r>
        <w:rPr>
          <w:b/>
          <w:bCs/>
        </w:rPr>
        <w:t xml:space="preserve">Did South America maintain its April recovery, and what does the exit rate imply for the full year?</w:t>
      </w:r>
    </w:p>
    <w:p>
      <w:pPr>
        <w:pStyle w:val="Compact"/>
        <w:numPr>
          <w:ilvl w:val="0"/>
          <w:numId w:val="1006"/>
        </w:numPr>
      </w:pPr>
      <w:r>
        <w:rPr>
          <w:b/>
          <w:bCs/>
        </w:rPr>
        <w:t xml:space="preserve">How much of EMEA’s earnings growth came from Benepack, FX, volume, and underlying productivity?</w:t>
      </w:r>
    </w:p>
    <w:p>
      <w:pPr>
        <w:pStyle w:val="Compact"/>
        <w:numPr>
          <w:ilvl w:val="0"/>
          <w:numId w:val="1006"/>
        </w:numPr>
      </w:pPr>
      <w:r>
        <w:rPr>
          <w:b/>
          <w:bCs/>
        </w:rPr>
        <w:t xml:space="preserve">Is North America achieving underlying 2x operating leverage before Millersburg and end-domestication costs?</w:t>
      </w:r>
    </w:p>
    <w:p>
      <w:pPr>
        <w:pStyle w:val="Compact"/>
        <w:numPr>
          <w:ilvl w:val="0"/>
          <w:numId w:val="1006"/>
        </w:numPr>
      </w:pPr>
      <w:r>
        <w:rPr>
          <w:b/>
          <w:bCs/>
        </w:rPr>
        <w:t xml:space="preserve">Have tariffs, aluminum premiums, freight, or energy costs changed the expected timing or effectiveness of pass-through mechanisms?</w:t>
      </w:r>
    </w:p>
    <w:p>
      <w:pPr>
        <w:pStyle w:val="Compact"/>
        <w:numPr>
          <w:ilvl w:val="0"/>
          <w:numId w:val="1006"/>
        </w:numPr>
      </w:pPr>
      <w:r>
        <w:rPr>
          <w:b/>
          <w:bCs/>
        </w:rPr>
        <w:t xml:space="preserve">What is the expected quarterly cadence of the $35 million in start-up costs?</w:t>
      </w:r>
    </w:p>
    <w:p>
      <w:pPr>
        <w:pStyle w:val="Compact"/>
        <w:numPr>
          <w:ilvl w:val="0"/>
          <w:numId w:val="1006"/>
        </w:numPr>
      </w:pPr>
      <w:r>
        <w:rPr>
          <w:b/>
          <w:bCs/>
        </w:rPr>
        <w:t xml:space="preserve">Does management still expect more than $900 million of 2026 free cash flow and year-end leverage near 2.7x?</w:t>
      </w:r>
    </w:p>
    <w:bookmarkEnd w:id="19"/>
    <w:bookmarkStart w:id="20" w:name="bottom-line"/>
    <w:p>
      <w:pPr>
        <w:pStyle w:val="Heading2"/>
      </w:pPr>
      <w:r>
        <w:t xml:space="preserve">Bottom line</w:t>
      </w:r>
    </w:p>
    <w:p>
      <w:pPr>
        <w:pStyle w:val="FirstParagraph"/>
      </w:pPr>
      <w:r>
        <w:t xml:space="preserve">The favorable setup rests on a simple thesis:</w:t>
      </w:r>
      <w:r>
        <w:t xml:space="preserve"> </w:t>
      </w:r>
      <w:r>
        <w:rPr>
          <w:b/>
          <w:bCs/>
        </w:rPr>
        <w:t xml:space="preserve">April volume momentum, particularly the South American rebound, should translate into a stronger 2Q shipment profile than 1Q, while Ball’s operational discipline converts that volume into earnings growth.</w:t>
      </w:r>
      <w:r>
        <w:t xml:space="preserve"> </w:t>
      </w:r>
      <w:r>
        <w:t xml:space="preserve">The main debate is whether that profit conversion is sustainable through the second half as North American ramp costs begin.</w:t>
      </w:r>
    </w:p>
    <w:p>
      <w:pPr>
        <w:pStyle w:val="BodyText"/>
      </w:pPr>
      <w:r>
        <w:t xml:space="preserve">A strong report would feature broad-based volume growth, continued EMEA profitability, a clear South American recovery, healthy base-business operating leverage, and firm full-year guidance. The downside case is softer consumer demand or lower utilization, especially if it forces investors to question Ball’s ability to offset the coming Millersburg-related cost burden while still delivering its 10%-plus EPS and $900-million-plus free-cash-flow objectives.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2026-08-04T00:48:18Z</dcterms:created>
  <dcterms:modified xsi:type="dcterms:W3CDTF">2026-08-04T00:48:18Z</dcterms:modified>
</cp:coreProperties>
</file>

<file path=docProps/custom.xml><?xml version="1.0" encoding="utf-8"?>
<Properties xmlns="http://schemas.openxmlformats.org/officeDocument/2006/custom-properties" xmlns:vt="http://schemas.openxmlformats.org/officeDocument/2006/docPropsVTypes"/>
</file>