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Ball Corporation (BALL)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Ball Corporation</w:t>
            </w:r>
          </w:p>
        </w:tc>
      </w:tr>
      <w:tr>
        <w:tc>
          <w:tcPr>
            <w:tcW w:type="dxa" w:w="4320"/>
          </w:tcPr>
          <w:p>
            <w:r>
              <w:rPr>
                <w:rFonts w:ascii="Calibri" w:hAnsi="Calibri"/>
                <w:b/>
                <w:sz w:val="22"/>
              </w:rPr>
              <w:t>Ticker</w:t>
            </w:r>
          </w:p>
        </w:tc>
        <w:tc>
          <w:tcPr>
            <w:tcW w:type="dxa" w:w="4320"/>
          </w:tcPr>
          <w:p>
            <w:r>
              <w:rPr>
                <w:rFonts w:ascii="Calibri" w:hAnsi="Calibri"/>
                <w:sz w:val="22"/>
              </w:rPr>
              <w:t>BALL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Last Earnings</w:t>
            </w:r>
          </w:p>
        </w:tc>
        <w:tc>
          <w:tcPr>
            <w:tcW w:type="dxa" w:w="4320"/>
          </w:tcPr>
          <w:p>
            <w:r>
              <w:rPr>
                <w:rFonts w:ascii="Calibri" w:hAnsi="Calibri"/>
                <w:sz w:val="22"/>
              </w:rPr>
              <w:t>May 5, 2026 (Q1 2026)</w:t>
            </w:r>
          </w:p>
        </w:tc>
      </w:tr>
      <w:tr>
        <w:tc>
          <w:tcPr>
            <w:tcW w:type="dxa" w:w="4320"/>
          </w:tcPr>
          <w:p>
            <w:r>
              <w:rPr>
                <w:rFonts w:ascii="Calibri" w:hAnsi="Calibri"/>
                <w:b/>
                <w:sz w:val="22"/>
              </w:rPr>
              <w:t>Sector ETF Benchmark</w:t>
            </w:r>
          </w:p>
        </w:tc>
        <w:tc>
          <w:tcPr>
            <w:tcW w:type="dxa" w:w="4320"/>
          </w:tcPr>
          <w:p>
            <w:r>
              <w:rPr>
                <w:rFonts w:ascii="Calibri" w:hAnsi="Calibri"/>
                <w:sz w:val="22"/>
              </w:rPr>
              <w:t>XLB (Materials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management guided explicitly to mid-single-digit enterprise volume growth (the tenth consecutive quarter of growth) and confirmed South America's sharp April/May recovery, making the bar achievable; the biggest swing factor is whether </w:t>
      </w:r>
      <w:r>
        <w:rPr>
          <w:rFonts w:ascii="Calibri" w:hAnsi="Calibri"/>
          <w:b/>
          <w:color w:val="525866"/>
          <w:sz w:val="22"/>
        </w:rPr>
        <w:t>$35M of Millersburg/NS domestication start-up costs</w:t>
      </w:r>
      <w:r>
        <w:rPr>
          <w:rFonts w:ascii="Calibri" w:hAnsi="Calibri"/>
          <w:color w:val="525866"/>
          <w:sz w:val="22"/>
        </w:rPr>
        <w:t xml:space="preserve"> land as guided or surprise to the upside in Q2 vs. Q3.</w:t>
      </w:r>
    </w:p>
    <w:p>
      <w:r>
        <w:rPr>
          <w:rFonts w:ascii="Calibri" w:hAnsi="Calibri"/>
          <w:color w:val="525866"/>
          <w:sz w:val="22"/>
        </w:rPr>
        <w:t xml:space="preserve">Ball enters Q2 2026 with a well-telegraphed setup: management guided to </w:t>
      </w:r>
      <w:r>
        <w:rPr>
          <w:rFonts w:ascii="Calibri" w:hAnsi="Calibri"/>
          <w:b/>
          <w:color w:val="525866"/>
          <w:sz w:val="22"/>
        </w:rPr>
        <w:t>mid-single-digit enterprise volume growth</w:t>
      </w:r>
      <w:r>
        <w:rPr>
          <w:rFonts w:ascii="Calibri" w:hAnsi="Calibri"/>
          <w:color w:val="525866"/>
          <w:sz w:val="22"/>
        </w:rPr>
        <w:t xml:space="preserve"> at the Wells Fargo Industrials Conference (June 10), which would mark the tenth consecutive quarter of volume expansion, and consensus EPS of $0.97 sits modestly above the prior-year Q2 actual of $0.90 — a reasonable bar given the strong operating leverage trajectory. Guidance tone has been consistently confident since the Q1 beat, with the CEO reaffirming the </w:t>
      </w:r>
      <w:r>
        <w:rPr>
          <w:rFonts w:ascii="Calibri" w:hAnsi="Calibri"/>
          <w:b/>
          <w:color w:val="525866"/>
          <w:sz w:val="22"/>
        </w:rPr>
        <w:t>10%-plus comparable diluted EPS growth algorithm</w:t>
      </w:r>
      <w:r>
        <w:rPr>
          <w:rFonts w:ascii="Calibri" w:hAnsi="Calibri"/>
          <w:color w:val="525866"/>
          <w:sz w:val="22"/>
        </w:rPr>
        <w:t xml:space="preserve"> for full-year 2026 and accelerating the $500M productivity program delivery to year-end 2026, a year ahead of schedule. Estimate revisions have been stable-to-slightly-positive since the Q1 print, with Q2 EPS consensus edging up from $0.958 to $0.971 — tracking guidance rather than diverging, which limits both upside surprise and downside risk. The stock has outperformed meaningfully since last earnings (+14.1% vs. XLB -1.0% and SPY +4.7%), suggesting the market has already priced in solid execution, compressing the reward for an in-line beat. The key wildcard is the </w:t>
      </w:r>
      <w:r>
        <w:rPr>
          <w:rFonts w:ascii="Calibri" w:hAnsi="Calibri"/>
          <w:b/>
          <w:color w:val="525866"/>
          <w:sz w:val="22"/>
        </w:rPr>
        <w:t>timing and magnitude of Millersburg start-up and NS ends domestication costs</w:t>
      </w:r>
      <w:r>
        <w:rPr>
          <w:rFonts w:ascii="Calibri" w:hAnsi="Calibri"/>
          <w:color w:val="525866"/>
          <w:sz w:val="22"/>
        </w:rPr>
        <w:t xml:space="preserve"> ($35M guided for Q2-Q3, heavily weighted to Q3) — if more of these costs land in Q2 than expected, operating leverage in North America could disappoint even against a modest volume backdrop.</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moderate bar — Q2 EPS of $0.97 implies ~8% YoY growth, below the full-year 10%+ algorithm, leaving room for upside if operating leverage again exceeds the 2x target. </w:t>
      </w:r>
      <w:r>
        <w:rPr>
          <w:rFonts w:ascii="Calibri" w:hAnsi="Calibri"/>
          <w:b/>
          <w:color w:val="525866"/>
          <w:sz w:val="22"/>
        </w:rPr>
        <w:t>Revenue is the bigger swing factor</w:t>
      </w:r>
      <w:r>
        <w:rPr>
          <w:rFonts w:ascii="Calibri" w:hAnsi="Calibri"/>
          <w:color w:val="525866"/>
          <w:sz w:val="22"/>
        </w:rPr>
        <w:t xml:space="preserve"> given the pass-through of higher aluminum costs (CCK's Americas beverage revenue rose 21% in Q2 on aluminum pass-through alone), while EPS will hinge on whether start-up costs are front- or back-half weighted.</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$3.603B</w:t>
            </w:r>
          </w:p>
        </w:tc>
        <w:tc>
          <w:tcPr>
            <w:tcW w:type="dxa" w:w="1234"/>
          </w:tcPr>
          <w:p>
            <w:r>
              <w:rPr>
                <w:rFonts w:ascii="Calibri" w:hAnsi="Calibri"/>
                <w:sz w:val="22"/>
              </w:rPr>
              <w:t>$3.338B</w:t>
            </w:r>
          </w:p>
        </w:tc>
        <w:tc>
          <w:tcPr>
            <w:tcW w:type="dxa" w:w="1234"/>
          </w:tcPr>
          <w:p>
            <w:r>
              <w:rPr>
                <w:rFonts w:ascii="Calibri" w:hAnsi="Calibri"/>
                <w:sz w:val="22"/>
              </w:rPr>
              <w:t>$3.642B</w:t>
            </w:r>
          </w:p>
        </w:tc>
        <w:tc>
          <w:tcPr>
            <w:tcW w:type="dxa" w:w="1234"/>
          </w:tcPr>
          <w:p>
            <w:r>
              <w:rPr>
                <w:rFonts w:ascii="Calibri" w:hAnsi="Calibri"/>
                <w:sz w:val="22"/>
              </w:rPr>
              <w:t>+9.1%</w:t>
            </w:r>
          </w:p>
        </w:tc>
        <w:tc>
          <w:tcPr>
            <w:tcW w:type="dxa" w:w="1234"/>
          </w:tcPr>
          <w:p>
            <w:r>
              <w:rPr>
                <w:rFonts w:ascii="Calibri" w:hAnsi="Calibri"/>
                <w:sz w:val="22"/>
              </w:rPr>
              <w:t>No specific Q2 revenue guidance provided</w:t>
            </w:r>
          </w:p>
        </w:tc>
        <w:tc>
          <w:tcPr>
            <w:tcW w:type="dxa" w:w="1234"/>
          </w:tcPr>
          <w:p>
            <w:r>
              <w:rPr>
                <w:rFonts w:ascii="Calibri" w:hAnsi="Calibri"/>
                <w:sz w:val="22"/>
              </w:rPr>
              <w:t>N/A</w:t>
            </w:r>
          </w:p>
        </w:tc>
      </w:tr>
      <w:tr>
        <w:tc>
          <w:tcPr>
            <w:tcW w:type="dxa" w:w="1234"/>
          </w:tcPr>
          <w:p>
            <w:r>
              <w:rPr>
                <w:rFonts w:ascii="Calibri" w:hAnsi="Calibri"/>
                <w:sz w:val="22"/>
              </w:rPr>
              <w:t>Adj. EPS (Diluted - Operating)</w:t>
            </w:r>
          </w:p>
        </w:tc>
        <w:tc>
          <w:tcPr>
            <w:tcW w:type="dxa" w:w="1234"/>
          </w:tcPr>
          <w:p>
            <w:r>
              <w:rPr>
                <w:rFonts w:ascii="Calibri" w:hAnsi="Calibri"/>
                <w:sz w:val="22"/>
              </w:rPr>
              <w:t>$0.94</w:t>
            </w:r>
          </w:p>
        </w:tc>
        <w:tc>
          <w:tcPr>
            <w:tcW w:type="dxa" w:w="1234"/>
          </w:tcPr>
          <w:p>
            <w:r>
              <w:rPr>
                <w:rFonts w:ascii="Calibri" w:hAnsi="Calibri"/>
                <w:sz w:val="22"/>
              </w:rPr>
              <w:t>$0.90</w:t>
            </w:r>
          </w:p>
        </w:tc>
        <w:tc>
          <w:tcPr>
            <w:tcW w:type="dxa" w:w="1234"/>
          </w:tcPr>
          <w:p>
            <w:r>
              <w:rPr>
                <w:rFonts w:ascii="Calibri" w:hAnsi="Calibri"/>
                <w:sz w:val="22"/>
              </w:rPr>
              <w:t>$0.971</w:t>
            </w:r>
          </w:p>
        </w:tc>
        <w:tc>
          <w:tcPr>
            <w:tcW w:type="dxa" w:w="1234"/>
          </w:tcPr>
          <w:p>
            <w:r>
              <w:rPr>
                <w:rFonts w:ascii="Calibri" w:hAnsi="Calibri"/>
                <w:sz w:val="22"/>
              </w:rPr>
              <w:t>+7.9%</w:t>
            </w:r>
          </w:p>
        </w:tc>
        <w:tc>
          <w:tcPr>
            <w:tcW w:type="dxa" w:w="1234"/>
          </w:tcPr>
          <w:p>
            <w:r>
              <w:rPr>
                <w:rFonts w:ascii="Calibri" w:hAnsi="Calibri"/>
                <w:sz w:val="22"/>
              </w:rPr>
              <w:t>10%+ full-year EPS growth algorithm</w:t>
            </w:r>
          </w:p>
        </w:tc>
        <w:tc>
          <w:tcPr>
            <w:tcW w:type="dxa" w:w="1234"/>
          </w:tcPr>
          <w:p>
            <w:r>
              <w:rPr>
                <w:rFonts w:ascii="Calibri" w:hAnsi="Calibri"/>
                <w:sz w:val="22"/>
              </w:rPr>
              <w:t>~In line (implies ~8% YoY, slightly below 10%+ FY target)</w:t>
            </w:r>
          </w:p>
        </w:tc>
      </w:tr>
      <w:tr>
        <w:tc>
          <w:tcPr>
            <w:tcW w:type="dxa" w:w="1234"/>
          </w:tcPr>
          <w:p>
            <w:r>
              <w:rPr>
                <w:rFonts w:ascii="Calibri" w:hAnsi="Calibri"/>
                <w:sz w:val="22"/>
              </w:rPr>
              <w:t>Operating EBITDA ($M)</w:t>
            </w:r>
          </w:p>
        </w:tc>
        <w:tc>
          <w:tcPr>
            <w:tcW w:type="dxa" w:w="1234"/>
          </w:tcPr>
          <w:p>
            <w:r>
              <w:rPr>
                <w:rFonts w:ascii="Calibri" w:hAnsi="Calibri"/>
                <w:sz w:val="22"/>
              </w:rPr>
              <w:t>$509M</w:t>
            </w:r>
          </w:p>
        </w:tc>
        <w:tc>
          <w:tcPr>
            <w:tcW w:type="dxa" w:w="1234"/>
          </w:tcPr>
          <w:p>
            <w:r>
              <w:rPr>
                <w:rFonts w:ascii="Calibri" w:hAnsi="Calibri"/>
                <w:sz w:val="22"/>
              </w:rPr>
              <w:t>$519M</w:t>
            </w:r>
          </w:p>
        </w:tc>
        <w:tc>
          <w:tcPr>
            <w:tcW w:type="dxa" w:w="1234"/>
          </w:tcPr>
          <w:p>
            <w:r>
              <w:rPr>
                <w:rFonts w:ascii="Calibri" w:hAnsi="Calibri"/>
                <w:sz w:val="22"/>
              </w:rPr>
              <w:t>$536M</w:t>
            </w:r>
          </w:p>
        </w:tc>
        <w:tc>
          <w:tcPr>
            <w:tcW w:type="dxa" w:w="1234"/>
          </w:tcPr>
          <w:p>
            <w:r>
              <w:rPr>
                <w:rFonts w:ascii="Calibri" w:hAnsi="Calibri"/>
                <w:sz w:val="22"/>
              </w:rPr>
              <w:t>+3.3%</w:t>
            </w:r>
          </w:p>
        </w:tc>
        <w:tc>
          <w:tcPr>
            <w:tcW w:type="dxa" w:w="1234"/>
          </w:tcPr>
          <w:p>
            <w:r>
              <w:rPr>
                <w:rFonts w:ascii="Calibri" w:hAnsi="Calibri"/>
                <w:sz w:val="22"/>
              </w:rPr>
              <w:t>2x operating leverage on volume growth</w:t>
            </w:r>
          </w:p>
        </w:tc>
        <w:tc>
          <w:tcPr>
            <w:tcW w:type="dxa" w:w="1234"/>
          </w:tcPr>
          <w:p>
            <w:r>
              <w:rPr>
                <w:rFonts w:ascii="Calibri" w:hAnsi="Calibri"/>
                <w:sz w:val="22"/>
              </w:rPr>
              <w:t>N/A (no explicit EBITDA guidance)</w:t>
            </w:r>
          </w:p>
        </w:tc>
      </w:tr>
      <w:tr>
        <w:tc>
          <w:tcPr>
            <w:tcW w:type="dxa" w:w="1234"/>
          </w:tcPr>
          <w:p>
            <w:r>
              <w:rPr>
                <w:rFonts w:ascii="Calibri" w:hAnsi="Calibri"/>
                <w:sz w:val="22"/>
              </w:rPr>
              <w:t>Operating Income ($M)</w:t>
            </w:r>
          </w:p>
        </w:tc>
        <w:tc>
          <w:tcPr>
            <w:tcW w:type="dxa" w:w="1234"/>
          </w:tcPr>
          <w:p>
            <w:r>
              <w:rPr>
                <w:rFonts w:ascii="Calibri" w:hAnsi="Calibri"/>
                <w:sz w:val="22"/>
              </w:rPr>
              <w:t>$387M</w:t>
            </w:r>
          </w:p>
        </w:tc>
        <w:tc>
          <w:tcPr>
            <w:tcW w:type="dxa" w:w="1234"/>
          </w:tcPr>
          <w:p>
            <w:r>
              <w:rPr>
                <w:rFonts w:ascii="Calibri" w:hAnsi="Calibri"/>
                <w:sz w:val="22"/>
              </w:rPr>
              <w:t>$402M</w:t>
            </w:r>
          </w:p>
        </w:tc>
        <w:tc>
          <w:tcPr>
            <w:tcW w:type="dxa" w:w="1234"/>
          </w:tcPr>
          <w:p>
            <w:r>
              <w:rPr>
                <w:rFonts w:ascii="Calibri" w:hAnsi="Calibri"/>
                <w:sz w:val="22"/>
              </w:rPr>
              <w:t>$406M</w:t>
            </w:r>
          </w:p>
        </w:tc>
        <w:tc>
          <w:tcPr>
            <w:tcW w:type="dxa" w:w="1234"/>
          </w:tcPr>
          <w:p>
            <w:r>
              <w:rPr>
                <w:rFonts w:ascii="Calibri" w:hAnsi="Calibri"/>
                <w:sz w:val="22"/>
              </w:rPr>
              <w:t>+1.0%</w:t>
            </w:r>
          </w:p>
        </w:tc>
        <w:tc>
          <w:tcPr>
            <w:tcW w:type="dxa" w:w="1234"/>
          </w:tcPr>
          <w:p>
            <w:r>
              <w:rPr>
                <w:rFonts w:ascii="Calibri" w:hAnsi="Calibri"/>
                <w:sz w:val="22"/>
              </w:rPr>
              <w:t>2x operating leverage on volume growth</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-$938M (seasonal)</w:t>
            </w:r>
          </w:p>
        </w:tc>
        <w:tc>
          <w:tcPr>
            <w:tcW w:type="dxa" w:w="1234"/>
          </w:tcPr>
          <w:p>
            <w:r>
              <w:rPr>
                <w:rFonts w:ascii="Calibri" w:hAnsi="Calibri"/>
                <w:sz w:val="22"/>
              </w:rPr>
              <w:t>$236M</w:t>
            </w:r>
          </w:p>
        </w:tc>
        <w:tc>
          <w:tcPr>
            <w:tcW w:type="dxa" w:w="1234"/>
          </w:tcPr>
          <w:p>
            <w:r>
              <w:rPr>
                <w:rFonts w:ascii="Calibri" w:hAnsi="Calibri"/>
                <w:sz w:val="22"/>
              </w:rPr>
              <w:t>$621M</w:t>
            </w:r>
          </w:p>
        </w:tc>
        <w:tc>
          <w:tcPr>
            <w:tcW w:type="dxa" w:w="1234"/>
          </w:tcPr>
          <w:p>
            <w:r>
              <w:rPr>
                <w:rFonts w:ascii="Calibri" w:hAnsi="Calibri"/>
                <w:sz w:val="22"/>
              </w:rPr>
              <w:t>+163%</w:t>
            </w:r>
          </w:p>
        </w:tc>
        <w:tc>
          <w:tcPr>
            <w:tcW w:type="dxa" w:w="1234"/>
          </w:tcPr>
          <w:p>
            <w:r>
              <w:rPr>
                <w:rFonts w:ascii="Calibri" w:hAnsi="Calibri"/>
                <w:sz w:val="22"/>
              </w:rPr>
              <w:t>&gt;$900M full-year FCF</w:t>
            </w:r>
          </w:p>
        </w:tc>
        <w:tc>
          <w:tcPr>
            <w:tcW w:type="dxa" w:w="1234"/>
          </w:tcPr>
          <w:p>
            <w:r>
              <w:rPr>
                <w:rFonts w:ascii="Calibri" w:hAnsi="Calibri"/>
                <w:sz w:val="22"/>
              </w:rPr>
              <w:t>N/A (quarterly FCF not guided)</w:t>
            </w:r>
          </w:p>
        </w:tc>
      </w:tr>
      <w:tr>
        <w:tc>
          <w:tcPr>
            <w:tcW w:type="dxa" w:w="1234"/>
          </w:tcPr>
          <w:p>
            <w:r>
              <w:rPr>
                <w:rFonts w:ascii="Calibri" w:hAnsi="Calibri"/>
                <w:sz w:val="22"/>
              </w:rPr>
              <w:t>Revenue - N. America ($B)</w:t>
            </w:r>
          </w:p>
        </w:tc>
        <w:tc>
          <w:tcPr>
            <w:tcW w:type="dxa" w:w="1234"/>
          </w:tcPr>
          <w:p>
            <w:r>
              <w:rPr>
                <w:rFonts w:ascii="Calibri" w:hAnsi="Calibri"/>
                <w:sz w:val="22"/>
              </w:rPr>
              <w:t>$1.776B</w:t>
            </w:r>
          </w:p>
        </w:tc>
        <w:tc>
          <w:tcPr>
            <w:tcW w:type="dxa" w:w="1234"/>
          </w:tcPr>
          <w:p>
            <w:r>
              <w:rPr>
                <w:rFonts w:ascii="Calibri" w:hAnsi="Calibri"/>
                <w:sz w:val="22"/>
              </w:rPr>
              <w:t>$1.613B</w:t>
            </w:r>
          </w:p>
        </w:tc>
        <w:tc>
          <w:tcPr>
            <w:tcW w:type="dxa" w:w="1234"/>
          </w:tcPr>
          <w:p>
            <w:r>
              <w:rPr>
                <w:rFonts w:ascii="Calibri" w:hAnsi="Calibri"/>
                <w:sz w:val="22"/>
              </w:rPr>
              <w:t>$1.735B</w:t>
            </w:r>
          </w:p>
        </w:tc>
        <w:tc>
          <w:tcPr>
            <w:tcW w:type="dxa" w:w="1234"/>
          </w:tcPr>
          <w:p>
            <w:r>
              <w:rPr>
                <w:rFonts w:ascii="Calibri" w:hAnsi="Calibri"/>
                <w:sz w:val="22"/>
              </w:rPr>
              <w:t>+7.6%</w:t>
            </w:r>
          </w:p>
        </w:tc>
        <w:tc>
          <w:tcPr>
            <w:tcW w:type="dxa" w:w="1234"/>
          </w:tcPr>
          <w:p>
            <w:r>
              <w:rPr>
                <w:rFonts w:ascii="Calibri" w:hAnsi="Calibri"/>
                <w:sz w:val="22"/>
              </w:rPr>
              <w:t>1-3% vol. growth (low end); capacity constrained</w:t>
            </w:r>
          </w:p>
        </w:tc>
        <w:tc>
          <w:tcPr>
            <w:tcW w:type="dxa" w:w="1234"/>
          </w:tcPr>
          <w:p>
            <w:r>
              <w:rPr>
                <w:rFonts w:ascii="Calibri" w:hAnsi="Calibri"/>
                <w:sz w:val="22"/>
              </w:rPr>
              <w:t>N/A</w:t>
            </w:r>
          </w:p>
        </w:tc>
      </w:tr>
      <w:tr>
        <w:tc>
          <w:tcPr>
            <w:tcW w:type="dxa" w:w="1234"/>
          </w:tcPr>
          <w:p>
            <w:r>
              <w:rPr>
                <w:rFonts w:ascii="Calibri" w:hAnsi="Calibri"/>
                <w:sz w:val="22"/>
              </w:rPr>
              <w:t>Revenue - EMEA ($B)</w:t>
            </w:r>
          </w:p>
        </w:tc>
        <w:tc>
          <w:tcPr>
            <w:tcW w:type="dxa" w:w="1234"/>
          </w:tcPr>
          <w:p>
            <w:r>
              <w:rPr>
                <w:rFonts w:ascii="Calibri" w:hAnsi="Calibri"/>
                <w:sz w:val="22"/>
              </w:rPr>
              <w:t>$1.111B</w:t>
            </w:r>
          </w:p>
        </w:tc>
        <w:tc>
          <w:tcPr>
            <w:tcW w:type="dxa" w:w="1234"/>
          </w:tcPr>
          <w:p>
            <w:r>
              <w:rPr>
                <w:rFonts w:ascii="Calibri" w:hAnsi="Calibri"/>
                <w:sz w:val="22"/>
              </w:rPr>
              <w:t>$1.123B</w:t>
            </w:r>
          </w:p>
        </w:tc>
        <w:tc>
          <w:tcPr>
            <w:tcW w:type="dxa" w:w="1234"/>
          </w:tcPr>
          <w:p>
            <w:r>
              <w:rPr>
                <w:rFonts w:ascii="Calibri" w:hAnsi="Calibri"/>
                <w:sz w:val="22"/>
              </w:rPr>
              <w:t>$1.236B</w:t>
            </w:r>
          </w:p>
        </w:tc>
        <w:tc>
          <w:tcPr>
            <w:tcW w:type="dxa" w:w="1234"/>
          </w:tcPr>
          <w:p>
            <w:r>
              <w:rPr>
                <w:rFonts w:ascii="Calibri" w:hAnsi="Calibri"/>
                <w:sz w:val="22"/>
              </w:rPr>
              <w:t>+10.1%</w:t>
            </w:r>
          </w:p>
        </w:tc>
        <w:tc>
          <w:tcPr>
            <w:tcW w:type="dxa" w:w="1234"/>
          </w:tcPr>
          <w:p>
            <w:r>
              <w:rPr>
                <w:rFonts w:ascii="Calibri" w:hAnsi="Calibri"/>
                <w:sz w:val="22"/>
              </w:rPr>
              <w:t>Above top end of 3-5% range (Benepack); 2x op. leverage</w:t>
            </w:r>
          </w:p>
        </w:tc>
        <w:tc>
          <w:tcPr>
            <w:tcW w:type="dxa" w:w="1234"/>
          </w:tcPr>
          <w:p>
            <w:r>
              <w:rPr>
                <w:rFonts w:ascii="Calibri" w:hAnsi="Calibri"/>
                <w:sz w:val="22"/>
              </w:rPr>
              <w:t>N/A</w:t>
            </w:r>
          </w:p>
        </w:tc>
      </w:tr>
      <w:tr>
        <w:tc>
          <w:tcPr>
            <w:tcW w:type="dxa" w:w="1234"/>
          </w:tcPr>
          <w:p>
            <w:r>
              <w:rPr>
                <w:rFonts w:ascii="Calibri" w:hAnsi="Calibri"/>
                <w:sz w:val="22"/>
              </w:rPr>
              <w:t>Revenue - S. America ($B)</w:t>
            </w:r>
          </w:p>
        </w:tc>
        <w:tc>
          <w:tcPr>
            <w:tcW w:type="dxa" w:w="1234"/>
          </w:tcPr>
          <w:p>
            <w:r>
              <w:rPr>
                <w:rFonts w:ascii="Calibri" w:hAnsi="Calibri"/>
                <w:sz w:val="22"/>
              </w:rPr>
              <w:t>$0.585B</w:t>
            </w:r>
          </w:p>
        </w:tc>
        <w:tc>
          <w:tcPr>
            <w:tcW w:type="dxa" w:w="1234"/>
          </w:tcPr>
          <w:p>
            <w:r>
              <w:rPr>
                <w:rFonts w:ascii="Calibri" w:hAnsi="Calibri"/>
                <w:sz w:val="22"/>
              </w:rPr>
              <w:t>$0.477B</w:t>
            </w:r>
          </w:p>
        </w:tc>
        <w:tc>
          <w:tcPr>
            <w:tcW w:type="dxa" w:w="1234"/>
          </w:tcPr>
          <w:p>
            <w:r>
              <w:rPr>
                <w:rFonts w:ascii="Calibri" w:hAnsi="Calibri"/>
                <w:sz w:val="22"/>
              </w:rPr>
              <w:t>$0.547B</w:t>
            </w:r>
          </w:p>
        </w:tc>
        <w:tc>
          <w:tcPr>
            <w:tcW w:type="dxa" w:w="1234"/>
          </w:tcPr>
          <w:p>
            <w:r>
              <w:rPr>
                <w:rFonts w:ascii="Calibri" w:hAnsi="Calibri"/>
                <w:sz w:val="22"/>
              </w:rPr>
              <w:t>+14.7%</w:t>
            </w:r>
          </w:p>
        </w:tc>
        <w:tc>
          <w:tcPr>
            <w:tcW w:type="dxa" w:w="1234"/>
          </w:tcPr>
          <w:p>
            <w:r>
              <w:rPr>
                <w:rFonts w:ascii="Calibri" w:hAnsi="Calibri"/>
                <w:sz w:val="22"/>
              </w:rPr>
              <w:t>Low-double to teens growth (CEO guided at Wells Fargo conf.)</w:t>
            </w:r>
          </w:p>
        </w:tc>
        <w:tc>
          <w:tcPr>
            <w:tcW w:type="dxa" w:w="1234"/>
          </w:tcPr>
          <w:p>
            <w:r>
              <w:rPr>
                <w:rFonts w:ascii="Calibri" w:hAnsi="Calibri"/>
                <w:sz w:val="22"/>
              </w:rPr>
              <w:t>~In line / slightly below midpoint</w:t>
            </w:r>
          </w:p>
        </w:tc>
      </w:tr>
    </w:tbl>
    <w:p>
      <w:r>
        <w:rPr>
          <w:rFonts w:ascii="Calibri" w:hAnsi="Calibri"/>
          <w:color w:val="525866"/>
          <w:sz w:val="22"/>
        </w:rPr>
        <w:t>Source: Visible Alpha Consensus and Actuals Data. All consensus figures as of August 3, 2026. Q1 2026 actuals are the most recently reported figures. Q2 2025 actuals represent the prior-year comparable period.</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Adj.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$0.74</w:t>
            </w:r>
          </w:p>
        </w:tc>
        <w:tc>
          <w:tcPr>
            <w:tcW w:type="dxa" w:w="1728"/>
          </w:tcPr>
          <w:p>
            <w:r>
              <w:rPr>
                <w:rFonts w:ascii="Calibri" w:hAnsi="Calibri"/>
                <w:sz w:val="22"/>
              </w:rPr>
              <w:t>$0.687</w:t>
            </w:r>
          </w:p>
        </w:tc>
        <w:tc>
          <w:tcPr>
            <w:tcW w:type="dxa" w:w="1728"/>
          </w:tcPr>
          <w:p>
            <w:r>
              <w:rPr>
                <w:rFonts w:ascii="Calibri" w:hAnsi="Calibri"/>
                <w:b/>
                <w:color w:val="30A46C"/>
                <w:sz w:val="22"/>
              </w:rPr>
              <w:t>+7.7%</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$0.91</w:t>
            </w:r>
          </w:p>
        </w:tc>
        <w:tc>
          <w:tcPr>
            <w:tcW w:type="dxa" w:w="1728"/>
          </w:tcPr>
          <w:p>
            <w:r>
              <w:rPr>
                <w:rFonts w:ascii="Calibri" w:hAnsi="Calibri"/>
                <w:sz w:val="22"/>
              </w:rPr>
              <w:t>$0.848</w:t>
            </w:r>
          </w:p>
        </w:tc>
        <w:tc>
          <w:tcPr>
            <w:tcW w:type="dxa" w:w="1728"/>
          </w:tcPr>
          <w:p>
            <w:r>
              <w:rPr>
                <w:rFonts w:ascii="Calibri" w:hAnsi="Calibri"/>
                <w:b/>
                <w:color w:val="30A46C"/>
                <w:sz w:val="22"/>
              </w:rPr>
              <w:t>+7.3%</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$0.84</w:t>
            </w:r>
          </w:p>
        </w:tc>
        <w:tc>
          <w:tcPr>
            <w:tcW w:type="dxa" w:w="1728"/>
          </w:tcPr>
          <w:p>
            <w:r>
              <w:rPr>
                <w:rFonts w:ascii="Calibri" w:hAnsi="Calibri"/>
                <w:sz w:val="22"/>
              </w:rPr>
              <w:t>$0.782</w:t>
            </w:r>
          </w:p>
        </w:tc>
        <w:tc>
          <w:tcPr>
            <w:tcW w:type="dxa" w:w="1728"/>
          </w:tcPr>
          <w:p>
            <w:r>
              <w:rPr>
                <w:rFonts w:ascii="Calibri" w:hAnsi="Calibri"/>
                <w:b/>
                <w:color w:val="30A46C"/>
                <w:sz w:val="22"/>
              </w:rPr>
              <w:t>+7.4%</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$0.768</w:t>
            </w:r>
          </w:p>
        </w:tc>
        <w:tc>
          <w:tcPr>
            <w:tcW w:type="dxa" w:w="1728"/>
          </w:tcPr>
          <w:p>
            <w:r>
              <w:rPr>
                <w:rFonts w:ascii="Calibri" w:hAnsi="Calibri"/>
                <w:sz w:val="22"/>
              </w:rPr>
              <w:t>$0.686</w:t>
            </w:r>
          </w:p>
        </w:tc>
        <w:tc>
          <w:tcPr>
            <w:tcW w:type="dxa" w:w="1728"/>
          </w:tcPr>
          <w:p>
            <w:r>
              <w:rPr>
                <w:rFonts w:ascii="Calibri" w:hAnsi="Calibri"/>
                <w:b/>
                <w:color w:val="30A46C"/>
                <w:sz w:val="22"/>
              </w:rPr>
              <w:t>+12.0%</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$0.90</w:t>
            </w:r>
          </w:p>
        </w:tc>
        <w:tc>
          <w:tcPr>
            <w:tcW w:type="dxa" w:w="1728"/>
          </w:tcPr>
          <w:p>
            <w:r>
              <w:rPr>
                <w:rFonts w:ascii="Calibri" w:hAnsi="Calibri"/>
                <w:sz w:val="22"/>
              </w:rPr>
              <w:t>$0.864</w:t>
            </w:r>
          </w:p>
        </w:tc>
        <w:tc>
          <w:tcPr>
            <w:tcW w:type="dxa" w:w="1728"/>
          </w:tcPr>
          <w:p>
            <w:r>
              <w:rPr>
                <w:rFonts w:ascii="Calibri" w:hAnsi="Calibri"/>
                <w:b/>
                <w:color w:val="30A46C"/>
                <w:sz w:val="22"/>
              </w:rPr>
              <w:t>+4.2%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$1.026</w:t>
            </w:r>
          </w:p>
        </w:tc>
        <w:tc>
          <w:tcPr>
            <w:tcW w:type="dxa" w:w="1728"/>
          </w:tcPr>
          <w:p>
            <w:r>
              <w:rPr>
                <w:rFonts w:ascii="Calibri" w:hAnsi="Calibri"/>
                <w:sz w:val="22"/>
              </w:rPr>
              <w:t>$1.012</w:t>
            </w:r>
          </w:p>
        </w:tc>
        <w:tc>
          <w:tcPr>
            <w:tcW w:type="dxa" w:w="1728"/>
          </w:tcPr>
          <w:p>
            <w:r>
              <w:rPr>
                <w:rFonts w:ascii="Calibri" w:hAnsi="Calibri"/>
                <w:b/>
                <w:color w:val="30A46C"/>
                <w:sz w:val="22"/>
              </w:rPr>
              <w:t>+1.4%</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$0.91</w:t>
            </w:r>
          </w:p>
        </w:tc>
        <w:tc>
          <w:tcPr>
            <w:tcW w:type="dxa" w:w="1728"/>
          </w:tcPr>
          <w:p>
            <w:r>
              <w:rPr>
                <w:rFonts w:ascii="Calibri" w:hAnsi="Calibri"/>
                <w:sz w:val="22"/>
              </w:rPr>
              <w:t>$0.891</w:t>
            </w:r>
          </w:p>
        </w:tc>
        <w:tc>
          <w:tcPr>
            <w:tcW w:type="dxa" w:w="1728"/>
          </w:tcPr>
          <w:p>
            <w:r>
              <w:rPr>
                <w:rFonts w:ascii="Calibri" w:hAnsi="Calibri"/>
                <w:b/>
                <w:color w:val="30A46C"/>
                <w:sz w:val="22"/>
              </w:rPr>
              <w:t>+2.1%</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$0.94</w:t>
            </w:r>
          </w:p>
        </w:tc>
        <w:tc>
          <w:tcPr>
            <w:tcW w:type="dxa" w:w="1728"/>
          </w:tcPr>
          <w:p>
            <w:r>
              <w:rPr>
                <w:rFonts w:ascii="Calibri" w:hAnsi="Calibri"/>
                <w:sz w:val="22"/>
              </w:rPr>
              <w:t>$0.830</w:t>
            </w:r>
          </w:p>
        </w:tc>
        <w:tc>
          <w:tcPr>
            <w:tcW w:type="dxa" w:w="1728"/>
          </w:tcPr>
          <w:p>
            <w:r>
              <w:rPr>
                <w:rFonts w:ascii="Calibri" w:hAnsi="Calibri"/>
                <w:b/>
                <w:color w:val="30A46C"/>
                <w:sz w:val="22"/>
              </w:rPr>
              <w:t>+13.3%</w:t>
            </w:r>
          </w:p>
        </w:tc>
        <w:tc>
          <w:tcPr>
            <w:tcW w:type="dxa" w:w="1728"/>
          </w:tcPr>
          <w:p>
            <w:r>
              <w:rPr>
                <w:rFonts w:ascii="Calibri" w:hAnsi="Calibri"/>
                <w:sz w:val="22"/>
              </w:rPr>
              <w:t>Beat</w:t>
            </w:r>
          </w:p>
        </w:tc>
      </w:tr>
    </w:tbl>
    <w:p>
      <w:pPr>
        <w:pStyle w:val="Heading4"/>
      </w:pPr>
      <w:r>
        <w:rPr>
          <w:rFonts w:ascii="Calibri" w:hAnsi="Calibri"/>
          <w:b/>
          <w:color w:val="3B4259"/>
          <w:sz w:val="22"/>
        </w:rPr>
        <w:t>Top KPI #2: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$2.959B</w:t>
            </w:r>
          </w:p>
        </w:tc>
        <w:tc>
          <w:tcPr>
            <w:tcW w:type="dxa" w:w="1728"/>
          </w:tcPr>
          <w:p>
            <w:r>
              <w:rPr>
                <w:rFonts w:ascii="Calibri" w:hAnsi="Calibri"/>
                <w:sz w:val="22"/>
              </w:rPr>
              <w:t>$3.112B</w:t>
            </w:r>
          </w:p>
        </w:tc>
        <w:tc>
          <w:tcPr>
            <w:tcW w:type="dxa" w:w="1728"/>
          </w:tcPr>
          <w:p>
            <w:r>
              <w:rPr>
                <w:rFonts w:ascii="Calibri" w:hAnsi="Calibri"/>
                <w:b/>
                <w:color w:val="E5484D"/>
                <w:sz w:val="22"/>
              </w:rPr>
              <w:t>-4.9%</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$3.082B</w:t>
            </w:r>
          </w:p>
        </w:tc>
        <w:tc>
          <w:tcPr>
            <w:tcW w:type="dxa" w:w="1728"/>
          </w:tcPr>
          <w:p>
            <w:r>
              <w:rPr>
                <w:rFonts w:ascii="Calibri" w:hAnsi="Calibri"/>
                <w:sz w:val="22"/>
              </w:rPr>
              <w:t>$3.166B</w:t>
            </w:r>
          </w:p>
        </w:tc>
        <w:tc>
          <w:tcPr>
            <w:tcW w:type="dxa" w:w="1728"/>
          </w:tcPr>
          <w:p>
            <w:r>
              <w:rPr>
                <w:rFonts w:ascii="Calibri" w:hAnsi="Calibri"/>
                <w:b/>
                <w:color w:val="E5484D"/>
                <w:sz w:val="22"/>
              </w:rPr>
              <w:t>-2.6%</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$2.880B</w:t>
            </w:r>
          </w:p>
        </w:tc>
        <w:tc>
          <w:tcPr>
            <w:tcW w:type="dxa" w:w="1728"/>
          </w:tcPr>
          <w:p>
            <w:r>
              <w:rPr>
                <w:rFonts w:ascii="Calibri" w:hAnsi="Calibri"/>
                <w:sz w:val="22"/>
              </w:rPr>
              <w:t>$2.935B</w:t>
            </w:r>
          </w:p>
        </w:tc>
        <w:tc>
          <w:tcPr>
            <w:tcW w:type="dxa" w:w="1728"/>
          </w:tcPr>
          <w:p>
            <w:r>
              <w:rPr>
                <w:rFonts w:ascii="Calibri" w:hAnsi="Calibri"/>
                <w:b/>
                <w:color w:val="E5484D"/>
                <w:sz w:val="22"/>
              </w:rPr>
              <w:t>-1.9%</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$3.097B</w:t>
            </w:r>
          </w:p>
        </w:tc>
        <w:tc>
          <w:tcPr>
            <w:tcW w:type="dxa" w:w="1728"/>
          </w:tcPr>
          <w:p>
            <w:r>
              <w:rPr>
                <w:rFonts w:ascii="Calibri" w:hAnsi="Calibri"/>
                <w:sz w:val="22"/>
              </w:rPr>
              <w:t>$2.904B</w:t>
            </w:r>
          </w:p>
        </w:tc>
        <w:tc>
          <w:tcPr>
            <w:tcW w:type="dxa" w:w="1728"/>
          </w:tcPr>
          <w:p>
            <w:r>
              <w:rPr>
                <w:rFonts w:ascii="Calibri" w:hAnsi="Calibri"/>
                <w:b/>
                <w:color w:val="30A46C"/>
                <w:sz w:val="22"/>
              </w:rPr>
              <w:t>+6.6%</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$3.338B</w:t>
            </w:r>
          </w:p>
        </w:tc>
        <w:tc>
          <w:tcPr>
            <w:tcW w:type="dxa" w:w="1728"/>
          </w:tcPr>
          <w:p>
            <w:r>
              <w:rPr>
                <w:rFonts w:ascii="Calibri" w:hAnsi="Calibri"/>
                <w:sz w:val="22"/>
              </w:rPr>
              <w:t>$3.119B</w:t>
            </w:r>
          </w:p>
        </w:tc>
        <w:tc>
          <w:tcPr>
            <w:tcW w:type="dxa" w:w="1728"/>
          </w:tcPr>
          <w:p>
            <w:r>
              <w:rPr>
                <w:rFonts w:ascii="Calibri" w:hAnsi="Calibri"/>
                <w:b/>
                <w:color w:val="30A46C"/>
                <w:sz w:val="22"/>
              </w:rPr>
              <w:t>+7.0%</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$3.379B</w:t>
            </w:r>
          </w:p>
        </w:tc>
        <w:tc>
          <w:tcPr>
            <w:tcW w:type="dxa" w:w="1728"/>
          </w:tcPr>
          <w:p>
            <w:r>
              <w:rPr>
                <w:rFonts w:ascii="Calibri" w:hAnsi="Calibri"/>
                <w:sz w:val="22"/>
              </w:rPr>
              <w:t>$3.336B</w:t>
            </w:r>
          </w:p>
        </w:tc>
        <w:tc>
          <w:tcPr>
            <w:tcW w:type="dxa" w:w="1728"/>
          </w:tcPr>
          <w:p>
            <w:r>
              <w:rPr>
                <w:rFonts w:ascii="Calibri" w:hAnsi="Calibri"/>
                <w:b/>
                <w:color w:val="30A46C"/>
                <w:sz w:val="22"/>
              </w:rPr>
              <w:t>+1.3%</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$3.347B</w:t>
            </w:r>
          </w:p>
        </w:tc>
        <w:tc>
          <w:tcPr>
            <w:tcW w:type="dxa" w:w="1728"/>
          </w:tcPr>
          <w:p>
            <w:r>
              <w:rPr>
                <w:rFonts w:ascii="Calibri" w:hAnsi="Calibri"/>
                <w:sz w:val="22"/>
              </w:rPr>
              <w:t>$3.142B</w:t>
            </w:r>
          </w:p>
        </w:tc>
        <w:tc>
          <w:tcPr>
            <w:tcW w:type="dxa" w:w="1728"/>
          </w:tcPr>
          <w:p>
            <w:r>
              <w:rPr>
                <w:rFonts w:ascii="Calibri" w:hAnsi="Calibri"/>
                <w:b/>
                <w:color w:val="30A46C"/>
                <w:sz w:val="22"/>
              </w:rPr>
              <w:t>+6.5%</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$3.603B</w:t>
            </w:r>
          </w:p>
        </w:tc>
        <w:tc>
          <w:tcPr>
            <w:tcW w:type="dxa" w:w="1728"/>
          </w:tcPr>
          <w:p>
            <w:r>
              <w:rPr>
                <w:rFonts w:ascii="Calibri" w:hAnsi="Calibri"/>
                <w:sz w:val="22"/>
              </w:rPr>
              <w:t>$3.332B</w:t>
            </w:r>
          </w:p>
        </w:tc>
        <w:tc>
          <w:tcPr>
            <w:tcW w:type="dxa" w:w="1728"/>
          </w:tcPr>
          <w:p>
            <w:r>
              <w:rPr>
                <w:rFonts w:ascii="Calibri" w:hAnsi="Calibri"/>
                <w:b/>
                <w:color w:val="30A46C"/>
                <w:sz w:val="22"/>
              </w:rPr>
              <w:t>+8.1%</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BALL has beaten adj. EPS consensus in each of the last 8 quarters, with beat magnitude ranging from +1.4% to +13.3% — a remarkably consistent track record. Revenue beat/miss is more mixed: three consecutive misses in Q2-Q4 2024 (when aluminum pass-through was lower and volumes were soft) gave way to five consecutive beats from Q1 2025 onward as volumes accelerated and aluminum cost pass-through inflated the top line.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unchanged since the Q1 2026 earnings call — management reaffirmed all key metrics at the Wells Fargo conference (June 10) with no revisions. Tone remains </w:t>
      </w:r>
      <w:r>
        <w:rPr>
          <w:rFonts w:ascii="Calibri" w:hAnsi="Calibri"/>
          <w:b/>
          <w:color w:val="525866"/>
          <w:sz w:val="22"/>
        </w:rPr>
        <w:t>confidently on-track</w:t>
      </w:r>
      <w:r>
        <w:rPr>
          <w:rFonts w:ascii="Calibri" w:hAnsi="Calibri"/>
          <w:color w:val="525866"/>
          <w:sz w:val="22"/>
        </w:rPr>
        <w:t>, with the CEO explicitly stating the company is “right on track” for all January 2026 commitments.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Adj. EPS Growth</w:t>
            </w:r>
          </w:p>
        </w:tc>
        <w:tc>
          <w:tcPr>
            <w:tcW w:type="dxa" w:w="1728"/>
          </w:tcPr>
          <w:p>
            <w:r>
              <w:rPr>
                <w:rFonts w:ascii="Calibri" w:hAnsi="Calibri"/>
                <w:sz w:val="22"/>
              </w:rPr>
              <w:t>10%+ comparable diluted EPS growth</w:t>
            </w:r>
          </w:p>
        </w:tc>
        <w:tc>
          <w:tcPr>
            <w:tcW w:type="dxa" w:w="1728"/>
          </w:tcPr>
          <w:p>
            <w:r>
              <w:rPr>
                <w:rFonts w:ascii="Calibri" w:hAnsi="Calibri"/>
                <w:sz w:val="22"/>
              </w:rPr>
              <w:t>—</w:t>
            </w:r>
          </w:p>
        </w:tc>
        <w:tc>
          <w:tcPr>
            <w:tcW w:type="dxa" w:w="1728"/>
          </w:tcPr>
          <w:p>
            <w:r>
              <w:rPr>
                <w:rFonts w:ascii="Calibri" w:hAnsi="Calibri"/>
                <w:sz w:val="22"/>
              </w:rPr>
              <w:t>$3.967 (+10.5% vs. FY2025 $3.59 implied)</w:t>
            </w:r>
          </w:p>
        </w:tc>
        <w:tc>
          <w:tcPr>
            <w:tcW w:type="dxa" w:w="1728"/>
          </w:tcPr>
          <w:p>
            <w:r>
              <w:rPr>
                <w:rFonts w:ascii="Calibri" w:hAnsi="Calibri"/>
                <w:sz w:val="22"/>
              </w:rPr>
              <w:t>Reaffirmed at Wells Fargo conf. June 10; tone unchanged and confident</w:t>
            </w:r>
          </w:p>
        </w:tc>
      </w:tr>
      <w:tr>
        <w:tc>
          <w:tcPr>
            <w:tcW w:type="dxa" w:w="1728"/>
          </w:tcPr>
          <w:p>
            <w:r>
              <w:rPr>
                <w:rFonts w:ascii="Calibri" w:hAnsi="Calibri"/>
                <w:sz w:val="22"/>
              </w:rPr>
              <w:t>Full-Year Free Cash Flow</w:t>
            </w:r>
          </w:p>
        </w:tc>
        <w:tc>
          <w:tcPr>
            <w:tcW w:type="dxa" w:w="1728"/>
          </w:tcPr>
          <w:p>
            <w:r>
              <w:rPr>
                <w:rFonts w:ascii="Calibri" w:hAnsi="Calibri"/>
                <w:sz w:val="22"/>
              </w:rPr>
              <w:t>&gt;$900M</w:t>
            </w:r>
          </w:p>
        </w:tc>
        <w:tc>
          <w:tcPr>
            <w:tcW w:type="dxa" w:w="1728"/>
          </w:tcPr>
          <w:p>
            <w:r>
              <w:rPr>
                <w:rFonts w:ascii="Calibri" w:hAnsi="Calibri"/>
                <w:sz w:val="22"/>
              </w:rPr>
              <w:t>—</w:t>
            </w:r>
          </w:p>
        </w:tc>
        <w:tc>
          <w:tcPr>
            <w:tcW w:type="dxa" w:w="1728"/>
          </w:tcPr>
          <w:p>
            <w:r>
              <w:rPr>
                <w:rFonts w:ascii="Calibri" w:hAnsi="Calibri"/>
                <w:sz w:val="22"/>
              </w:rPr>
              <w:t>$937M</w:t>
            </w:r>
          </w:p>
        </w:tc>
        <w:tc>
          <w:tcPr>
            <w:tcW w:type="dxa" w:w="1728"/>
          </w:tcPr>
          <w:p>
            <w:r>
              <w:rPr>
                <w:rFonts w:ascii="Calibri" w:hAnsi="Calibri"/>
                <w:sz w:val="22"/>
              </w:rPr>
              <w:t>Reaffirmed at Wells Fargo conf. June 10; described as “record year on top of record year”</w:t>
            </w:r>
          </w:p>
        </w:tc>
      </w:tr>
      <w:tr>
        <w:tc>
          <w:tcPr>
            <w:tcW w:type="dxa" w:w="1728"/>
          </w:tcPr>
          <w:p>
            <w:r>
              <w:rPr>
                <w:rFonts w:ascii="Calibri" w:hAnsi="Calibri"/>
                <w:sz w:val="22"/>
              </w:rPr>
              <w:t>Shareholder Returns (FY2026)</w:t>
            </w:r>
          </w:p>
        </w:tc>
        <w:tc>
          <w:tcPr>
            <w:tcW w:type="dxa" w:w="1728"/>
          </w:tcPr>
          <w:p>
            <w:r>
              <w:rPr>
                <w:rFonts w:ascii="Calibri" w:hAnsi="Calibri"/>
                <w:sz w:val="22"/>
              </w:rPr>
              <w:t>~$800M total; ≥$600M buybacks</w:t>
            </w:r>
          </w:p>
        </w:tc>
        <w:tc>
          <w:tcPr>
            <w:tcW w:type="dxa" w:w="1728"/>
          </w:tcPr>
          <w:p>
            <w:r>
              <w:rPr>
                <w:rFonts w:ascii="Calibri" w:hAnsi="Calibri"/>
                <w:sz w:val="22"/>
              </w:rPr>
              <w:t>—</w:t>
            </w:r>
          </w:p>
        </w:tc>
        <w:tc>
          <w:tcPr>
            <w:tcW w:type="dxa" w:w="1728"/>
          </w:tcPr>
          <w:p>
            <w:r>
              <w:rPr>
                <w:rFonts w:ascii="Calibri" w:hAnsi="Calibri"/>
                <w:sz w:val="22"/>
              </w:rPr>
              <w:t>N/A (not tracked by VA)</w:t>
            </w:r>
          </w:p>
        </w:tc>
        <w:tc>
          <w:tcPr>
            <w:tcW w:type="dxa" w:w="1728"/>
          </w:tcPr>
          <w:p>
            <w:r>
              <w:rPr>
                <w:rFonts w:ascii="Calibri" w:hAnsi="Calibri"/>
                <w:sz w:val="22"/>
              </w:rPr>
              <w:t>Unchanged; on track per Q1 call</w:t>
            </w:r>
          </w:p>
        </w:tc>
      </w:tr>
      <w:tr>
        <w:tc>
          <w:tcPr>
            <w:tcW w:type="dxa" w:w="1728"/>
          </w:tcPr>
          <w:p>
            <w:r>
              <w:rPr>
                <w:rFonts w:ascii="Calibri" w:hAnsi="Calibri"/>
                <w:sz w:val="22"/>
              </w:rPr>
              <w:t>Year-End Net Debt / EBITDA</w:t>
            </w:r>
          </w:p>
        </w:tc>
        <w:tc>
          <w:tcPr>
            <w:tcW w:type="dxa" w:w="1728"/>
          </w:tcPr>
          <w:p>
            <w:r>
              <w:rPr>
                <w:rFonts w:ascii="Calibri" w:hAnsi="Calibri"/>
                <w:sz w:val="22"/>
              </w:rPr>
              <w:t>~2.7x (path to 2.5x)</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Wells Fargo conf. June 10; from 2.8x at end of 2025</w:t>
            </w:r>
          </w:p>
        </w:tc>
      </w:tr>
      <w:tr>
        <w:tc>
          <w:tcPr>
            <w:tcW w:type="dxa" w:w="1728"/>
          </w:tcPr>
          <w:p>
            <w:r>
              <w:rPr>
                <w:rFonts w:ascii="Calibri" w:hAnsi="Calibri"/>
                <w:sz w:val="22"/>
              </w:rPr>
              <w:t>Enterprise Volume Growth (FY2026)</w:t>
            </w:r>
          </w:p>
        </w:tc>
        <w:tc>
          <w:tcPr>
            <w:tcW w:type="dxa" w:w="1728"/>
          </w:tcPr>
          <w:p>
            <w:r>
              <w:rPr>
                <w:rFonts w:ascii="Calibri" w:hAnsi="Calibri"/>
                <w:sz w:val="22"/>
              </w:rPr>
              <w:t>Towards top end of 2-3% range</w:t>
            </w:r>
          </w:p>
        </w:tc>
        <w:tc>
          <w:tcPr>
            <w:tcW w:type="dxa" w:w="1728"/>
          </w:tcPr>
          <w:p>
            <w:r>
              <w:rPr>
                <w:rFonts w:ascii="Calibri" w:hAnsi="Calibri"/>
                <w:sz w:val="22"/>
              </w:rPr>
              <w:t>—</w:t>
            </w:r>
          </w:p>
        </w:tc>
        <w:tc>
          <w:tcPr>
            <w:tcW w:type="dxa" w:w="1728"/>
          </w:tcPr>
          <w:p>
            <w:r>
              <w:rPr>
                <w:rFonts w:ascii="Calibri" w:hAnsi="Calibri"/>
                <w:sz w:val="22"/>
              </w:rPr>
              <w:t>N/A (not a VA-tracked KPI)</w:t>
            </w:r>
          </w:p>
        </w:tc>
        <w:tc>
          <w:tcPr>
            <w:tcW w:type="dxa" w:w="1728"/>
          </w:tcPr>
          <w:p>
            <w:r>
              <w:rPr>
                <w:rFonts w:ascii="Calibri" w:hAnsi="Calibri"/>
                <w:sz w:val="22"/>
              </w:rPr>
              <w:t>Reaffirmed at Wells Fargo conf.; Q2 specifically guided to mid-single-digit growth</w:t>
            </w:r>
          </w:p>
        </w:tc>
      </w:tr>
      <w:tr>
        <w:tc>
          <w:tcPr>
            <w:tcW w:type="dxa" w:w="1728"/>
          </w:tcPr>
          <w:p>
            <w:r>
              <w:rPr>
                <w:rFonts w:ascii="Calibri" w:hAnsi="Calibri"/>
                <w:sz w:val="22"/>
              </w:rPr>
              <w:t>N. America Volume Growth (FY2026)</w:t>
            </w:r>
          </w:p>
        </w:tc>
        <w:tc>
          <w:tcPr>
            <w:tcW w:type="dxa" w:w="1728"/>
          </w:tcPr>
          <w:p>
            <w:r>
              <w:rPr>
                <w:rFonts w:ascii="Calibri" w:hAnsi="Calibri"/>
                <w:sz w:val="22"/>
              </w:rPr>
              <w:t>Low end of 1-3% range (capacity constrained)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“right on track” per Wells Fargo conf.</w:t>
            </w:r>
          </w:p>
        </w:tc>
      </w:tr>
      <w:tr>
        <w:tc>
          <w:tcPr>
            <w:tcW w:type="dxa" w:w="1728"/>
          </w:tcPr>
          <w:p>
            <w:r>
              <w:rPr>
                <w:rFonts w:ascii="Calibri" w:hAnsi="Calibri"/>
                <w:sz w:val="22"/>
              </w:rPr>
              <w:t>EMEA Volume Growth (FY2026)</w:t>
            </w:r>
          </w:p>
        </w:tc>
        <w:tc>
          <w:tcPr>
            <w:tcW w:type="dxa" w:w="1728"/>
          </w:tcPr>
          <w:p>
            <w:r>
              <w:rPr>
                <w:rFonts w:ascii="Calibri" w:hAnsi="Calibri"/>
                <w:sz w:val="22"/>
              </w:rPr>
              <w:t>Above top end of 3-5% range (Benepack); 2x op. leverage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“high end of range” per Wells Fargo conf.</w:t>
            </w:r>
          </w:p>
        </w:tc>
      </w:tr>
      <w:tr>
        <w:tc>
          <w:tcPr>
            <w:tcW w:type="dxa" w:w="1728"/>
          </w:tcPr>
          <w:p>
            <w:r>
              <w:rPr>
                <w:rFonts w:ascii="Calibri" w:hAnsi="Calibri"/>
                <w:sz w:val="22"/>
              </w:rPr>
              <w:t>S. America Volume Growth (FY2026)</w:t>
            </w:r>
          </w:p>
        </w:tc>
        <w:tc>
          <w:tcPr>
            <w:tcW w:type="dxa" w:w="1728"/>
          </w:tcPr>
          <w:p>
            <w:r>
              <w:rPr>
                <w:rFonts w:ascii="Calibri" w:hAnsi="Calibri"/>
                <w:sz w:val="22"/>
              </w:rPr>
              <w:t>Low end of 4-6% range; 2x op. leverage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Upgraded at Wells Fargo conf. to “low double, maybe teens” for Q2 and full year; April +20%, May equally strong</w:t>
            </w:r>
          </w:p>
        </w:tc>
      </w:tr>
      <w:tr>
        <w:tc>
          <w:tcPr>
            <w:tcW w:type="dxa" w:w="1728"/>
          </w:tcPr>
          <w:p>
            <w:r>
              <w:rPr>
                <w:rFonts w:ascii="Calibri" w:hAnsi="Calibri"/>
                <w:sz w:val="22"/>
              </w:rPr>
              <w:t>Start-up / Domestication Costs (FY2026)</w:t>
            </w:r>
          </w:p>
        </w:tc>
        <w:tc>
          <w:tcPr>
            <w:tcW w:type="dxa" w:w="1728"/>
          </w:tcPr>
          <w:p>
            <w:r>
              <w:rPr>
                <w:rFonts w:ascii="Calibri" w:hAnsi="Calibri"/>
                <w:sz w:val="22"/>
              </w:rPr>
              <w:t>$35M (Millersburg + NS ends); Q2-Q3 weighted, heavily Q3</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key watch item for Q2 vs. Q3 timing split</w:t>
            </w:r>
          </w:p>
        </w:tc>
      </w:tr>
      <w:tr>
        <w:tc>
          <w:tcPr>
            <w:tcW w:type="dxa" w:w="1728"/>
          </w:tcPr>
          <w:p>
            <w:r>
              <w:rPr>
                <w:rFonts w:ascii="Calibri" w:hAnsi="Calibri"/>
                <w:sz w:val="22"/>
              </w:rPr>
              <w:t>$500M Productivity Program</w:t>
            </w:r>
          </w:p>
        </w:tc>
        <w:tc>
          <w:tcPr>
            <w:tcW w:type="dxa" w:w="1728"/>
          </w:tcPr>
          <w:p>
            <w:r>
              <w:rPr>
                <w:rFonts w:ascii="Calibri" w:hAnsi="Calibri"/>
                <w:sz w:val="22"/>
              </w:rPr>
              <w:t>Delivered by end of 2026 (1 year early)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Wells Fargo conf.; framed as “one waypoint” with ongoing annual productivity thereafter</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Q1 2026 print — Q2 EPS consensus is up ~1.3% and FY2026 EPS up ~0.4% from the post-earnings baseline — </w:t>
      </w:r>
      <w:r>
        <w:rPr>
          <w:rFonts w:ascii="Calibri" w:hAnsi="Calibri"/>
          <w:b/>
          <w:color w:val="525866"/>
          <w:sz w:val="22"/>
        </w:rPr>
        <w:t>tracking guidance rather than diverging</w:t>
      </w:r>
      <w:r>
        <w:rPr>
          <w:rFonts w:ascii="Calibri" w:hAnsi="Calibri"/>
          <w:color w:val="525866"/>
          <w:sz w:val="22"/>
        </w:rPr>
        <w:t>. The gap between consensus and the 10%+ EPS growth algorithm is narrow, suggesting the street is giving management credit for execution without pricing in meaningful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5/12/26)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$0.958</w:t>
            </w:r>
          </w:p>
        </w:tc>
        <w:tc>
          <w:tcPr>
            <w:tcW w:type="dxa" w:w="1080"/>
          </w:tcPr>
          <w:p>
            <w:r>
              <w:rPr>
                <w:rFonts w:ascii="Calibri" w:hAnsi="Calibri"/>
                <w:sz w:val="22"/>
              </w:rPr>
              <w:t>$0.971</w:t>
            </w:r>
          </w:p>
        </w:tc>
        <w:tc>
          <w:tcPr>
            <w:tcW w:type="dxa" w:w="1080"/>
          </w:tcPr>
          <w:p>
            <w:r>
              <w:rPr>
                <w:rFonts w:ascii="Calibri" w:hAnsi="Calibri"/>
                <w:b/>
                <w:color w:val="30A46C"/>
                <w:sz w:val="22"/>
              </w:rPr>
              <w:t>+1.3%</w:t>
            </w:r>
          </w:p>
        </w:tc>
        <w:tc>
          <w:tcPr>
            <w:tcW w:type="dxa" w:w="1080"/>
          </w:tcPr>
          <w:p>
            <w:r>
              <w:rPr>
                <w:rFonts w:ascii="Calibri" w:hAnsi="Calibri"/>
                <w:sz w:val="22"/>
              </w:rPr>
              <w:t>10%+ FY EPS growth algorithm (no specific Q2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(implies ~8% YoY)</w:t>
            </w:r>
          </w:p>
        </w:tc>
      </w:tr>
      <w:tr>
        <w:tc>
          <w:tcPr>
            <w:tcW w:type="dxa" w:w="1080"/>
          </w:tcPr>
          <w:p>
            <w:r>
              <w:rPr>
                <w:rFonts w:ascii="Calibri" w:hAnsi="Calibri"/>
                <w:sz w:val="22"/>
              </w:rPr>
              <w:t>Revenue — Q2 2026</w:t>
            </w:r>
          </w:p>
        </w:tc>
        <w:tc>
          <w:tcPr>
            <w:tcW w:type="dxa" w:w="1080"/>
          </w:tcPr>
          <w:p>
            <w:r>
              <w:rPr>
                <w:rFonts w:ascii="Calibri" w:hAnsi="Calibri"/>
                <w:sz w:val="22"/>
              </w:rPr>
              <w:t>$3.644B</w:t>
            </w:r>
          </w:p>
        </w:tc>
        <w:tc>
          <w:tcPr>
            <w:tcW w:type="dxa" w:w="1080"/>
          </w:tcPr>
          <w:p>
            <w:r>
              <w:rPr>
                <w:rFonts w:ascii="Calibri" w:hAnsi="Calibri"/>
                <w:sz w:val="22"/>
              </w:rPr>
              <w:t>$3.642B</w:t>
            </w:r>
          </w:p>
        </w:tc>
        <w:tc>
          <w:tcPr>
            <w:tcW w:type="dxa" w:w="1080"/>
          </w:tcPr>
          <w:p>
            <w:r>
              <w:rPr>
                <w:rFonts w:ascii="Calibri" w:hAnsi="Calibri"/>
                <w:sz w:val="22"/>
              </w:rPr>
              <w:t>-0.1%</w:t>
            </w:r>
          </w:p>
        </w:tc>
        <w:tc>
          <w:tcPr>
            <w:tcW w:type="dxa" w:w="1080"/>
          </w:tcPr>
          <w:p>
            <w:r>
              <w:rPr>
                <w:rFonts w:ascii="Calibri" w:hAnsi="Calibri"/>
                <w:sz w:val="22"/>
              </w:rPr>
              <w:t>No specific Q2 revenue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EBITDA — Q2 2026</w:t>
            </w:r>
          </w:p>
        </w:tc>
        <w:tc>
          <w:tcPr>
            <w:tcW w:type="dxa" w:w="1080"/>
          </w:tcPr>
          <w:p>
            <w:r>
              <w:rPr>
                <w:rFonts w:ascii="Calibri" w:hAnsi="Calibri"/>
                <w:sz w:val="22"/>
              </w:rPr>
              <w:t>$532M</w:t>
            </w:r>
          </w:p>
        </w:tc>
        <w:tc>
          <w:tcPr>
            <w:tcW w:type="dxa" w:w="1080"/>
          </w:tcPr>
          <w:p>
            <w:r>
              <w:rPr>
                <w:rFonts w:ascii="Calibri" w:hAnsi="Calibri"/>
                <w:sz w:val="22"/>
              </w:rPr>
              <w:t>$536M</w:t>
            </w:r>
          </w:p>
        </w:tc>
        <w:tc>
          <w:tcPr>
            <w:tcW w:type="dxa" w:w="1080"/>
          </w:tcPr>
          <w:p>
            <w:r>
              <w:rPr>
                <w:rFonts w:ascii="Calibri" w:hAnsi="Calibri"/>
                <w:b/>
                <w:color w:val="30A46C"/>
                <w:sz w:val="22"/>
              </w:rPr>
              <w:t>+0.7%</w:t>
            </w:r>
          </w:p>
        </w:tc>
        <w:tc>
          <w:tcPr>
            <w:tcW w:type="dxa" w:w="1080"/>
          </w:tcPr>
          <w:p>
            <w:r>
              <w:rPr>
                <w:rFonts w:ascii="Calibri" w:hAnsi="Calibri"/>
                <w:sz w:val="22"/>
              </w:rPr>
              <w:t>2x operating leverage on volume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$3.953</w:t>
            </w:r>
          </w:p>
        </w:tc>
        <w:tc>
          <w:tcPr>
            <w:tcW w:type="dxa" w:w="1080"/>
          </w:tcPr>
          <w:p>
            <w:r>
              <w:rPr>
                <w:rFonts w:ascii="Calibri" w:hAnsi="Calibri"/>
                <w:sz w:val="22"/>
              </w:rPr>
              <w:t>$3.967</w:t>
            </w:r>
          </w:p>
        </w:tc>
        <w:tc>
          <w:tcPr>
            <w:tcW w:type="dxa" w:w="1080"/>
          </w:tcPr>
          <w:p>
            <w:r>
              <w:rPr>
                <w:rFonts w:ascii="Calibri" w:hAnsi="Calibri"/>
                <w:b/>
                <w:color w:val="30A46C"/>
                <w:sz w:val="22"/>
              </w:rPr>
              <w:t>+0.4%</w:t>
            </w:r>
          </w:p>
        </w:tc>
        <w:tc>
          <w:tcPr>
            <w:tcW w:type="dxa" w:w="1080"/>
          </w:tcPr>
          <w:p>
            <w:r>
              <w:rPr>
                <w:rFonts w:ascii="Calibri" w:hAnsi="Calibri"/>
                <w:sz w:val="22"/>
              </w:rPr>
              <w:t>10%+ comparable diluted EPS growth</w:t>
            </w:r>
          </w:p>
        </w:tc>
        <w:tc>
          <w:tcPr>
            <w:tcW w:type="dxa" w:w="1080"/>
          </w:tcPr>
          <w:p>
            <w:r>
              <w:rPr>
                <w:rFonts w:ascii="Calibri" w:hAnsi="Calibri"/>
                <w:sz w:val="22"/>
              </w:rPr>
              <w:t>Unchanged (reaffirmed June 10)</w:t>
            </w:r>
          </w:p>
        </w:tc>
        <w:tc>
          <w:tcPr>
            <w:tcW w:type="dxa" w:w="1080"/>
          </w:tcPr>
          <w:p>
            <w:r>
              <w:rPr>
                <w:rFonts w:ascii="Calibri" w:hAnsi="Calibri"/>
                <w:sz w:val="22"/>
              </w:rPr>
              <w:t>—</w:t>
            </w:r>
          </w:p>
        </w:tc>
        <w:tc>
          <w:tcPr>
            <w:tcW w:type="dxa" w:w="1080"/>
          </w:tcPr>
          <w:p>
            <w:r>
              <w:rPr>
                <w:rFonts w:ascii="Calibri" w:hAnsi="Calibri"/>
                <w:sz w:val="22"/>
              </w:rPr>
              <w:t>~In line with 10%+ algorithm</w:t>
            </w:r>
          </w:p>
        </w:tc>
      </w:tr>
      <w:tr>
        <w:tc>
          <w:tcPr>
            <w:tcW w:type="dxa" w:w="1080"/>
          </w:tcPr>
          <w:p>
            <w:r>
              <w:rPr>
                <w:rFonts w:ascii="Calibri" w:hAnsi="Calibri"/>
                <w:sz w:val="22"/>
              </w:rPr>
              <w:t>Revenue — FY2026</w:t>
            </w:r>
          </w:p>
        </w:tc>
        <w:tc>
          <w:tcPr>
            <w:tcW w:type="dxa" w:w="1080"/>
          </w:tcPr>
          <w:p>
            <w:r>
              <w:rPr>
                <w:rFonts w:ascii="Calibri" w:hAnsi="Calibri"/>
                <w:sz w:val="22"/>
              </w:rPr>
              <w:t>$14.434B</w:t>
            </w:r>
          </w:p>
        </w:tc>
        <w:tc>
          <w:tcPr>
            <w:tcW w:type="dxa" w:w="1080"/>
          </w:tcPr>
          <w:p>
            <w:r>
              <w:rPr>
                <w:rFonts w:ascii="Calibri" w:hAnsi="Calibri"/>
                <w:sz w:val="22"/>
              </w:rPr>
              <w:t>$14.420B</w:t>
            </w:r>
          </w:p>
        </w:tc>
        <w:tc>
          <w:tcPr>
            <w:tcW w:type="dxa" w:w="1080"/>
          </w:tcPr>
          <w:p>
            <w:r>
              <w:rPr>
                <w:rFonts w:ascii="Calibri" w:hAnsi="Calibri"/>
                <w:sz w:val="22"/>
              </w:rPr>
              <w:t>-0.1%</w:t>
            </w:r>
          </w:p>
        </w:tc>
        <w:tc>
          <w:tcPr>
            <w:tcW w:type="dxa" w:w="1080"/>
          </w:tcPr>
          <w:p>
            <w:r>
              <w:rPr>
                <w:rFonts w:ascii="Calibri" w:hAnsi="Calibri"/>
                <w:sz w:val="22"/>
              </w:rPr>
              <w:t>No specific FY revenue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FCF — FY2026</w:t>
            </w:r>
          </w:p>
        </w:tc>
        <w:tc>
          <w:tcPr>
            <w:tcW w:type="dxa" w:w="1080"/>
          </w:tcPr>
          <w:p>
            <w:r>
              <w:rPr>
                <w:rFonts w:ascii="Calibri" w:hAnsi="Calibri"/>
                <w:sz w:val="22"/>
              </w:rPr>
              <w:t>$958M</w:t>
            </w:r>
          </w:p>
        </w:tc>
        <w:tc>
          <w:tcPr>
            <w:tcW w:type="dxa" w:w="1080"/>
          </w:tcPr>
          <w:p>
            <w:r>
              <w:rPr>
                <w:rFonts w:ascii="Calibri" w:hAnsi="Calibri"/>
                <w:sz w:val="22"/>
              </w:rPr>
              <w:t>$937M</w:t>
            </w:r>
          </w:p>
        </w:tc>
        <w:tc>
          <w:tcPr>
            <w:tcW w:type="dxa" w:w="1080"/>
          </w:tcPr>
          <w:p>
            <w:r>
              <w:rPr>
                <w:rFonts w:ascii="Calibri" w:hAnsi="Calibri"/>
                <w:b/>
                <w:color w:val="E5484D"/>
                <w:sz w:val="22"/>
              </w:rPr>
              <w:t>-2.2%</w:t>
            </w:r>
          </w:p>
        </w:tc>
        <w:tc>
          <w:tcPr>
            <w:tcW w:type="dxa" w:w="1080"/>
          </w:tcPr>
          <w:p>
            <w:r>
              <w:rPr>
                <w:rFonts w:ascii="Calibri" w:hAnsi="Calibri"/>
                <w:sz w:val="22"/>
              </w:rPr>
              <w:t>&gt;$900M</w:t>
            </w:r>
          </w:p>
        </w:tc>
        <w:tc>
          <w:tcPr>
            <w:tcW w:type="dxa" w:w="1080"/>
          </w:tcPr>
          <w:p>
            <w:r>
              <w:rPr>
                <w:rFonts w:ascii="Calibri" w:hAnsi="Calibri"/>
                <w:sz w:val="22"/>
              </w:rPr>
              <w:t>Unchanged (reaffirmed June 10)</w:t>
            </w:r>
          </w:p>
        </w:tc>
        <w:tc>
          <w:tcPr>
            <w:tcW w:type="dxa" w:w="1080"/>
          </w:tcPr>
          <w:p>
            <w:r>
              <w:rPr>
                <w:rFonts w:ascii="Calibri" w:hAnsi="Calibri"/>
                <w:sz w:val="22"/>
              </w:rPr>
              <w:t>—</w:t>
            </w:r>
          </w:p>
        </w:tc>
        <w:tc>
          <w:tcPr>
            <w:tcW w:type="dxa" w:w="1080"/>
          </w:tcPr>
          <w:p>
            <w:r>
              <w:rPr>
                <w:rFonts w:ascii="Calibri" w:hAnsi="Calibri"/>
                <w:sz w:val="22"/>
              </w:rPr>
              <w:t>Consensus above guidance floor (+4.1% vs. $900M)</w:t>
            </w:r>
          </w:p>
        </w:tc>
      </w:tr>
    </w:tbl>
    <w:p>
      <w:r>
        <w:rPr>
          <w:rFonts w:ascii="Calibri" w:hAnsi="Calibri"/>
          <w:color w:val="525866"/>
          <w:sz w:val="22"/>
        </w:rPr>
        <w:t>Estimates have drifted only marginally since the Q1 print, with Q2 EPS up ~$0.013 and FY EPS up ~$0.014 — the street is essentially holding its position rather than chasing guidance higher. FCF consensus has edged down slightly but remains comfortably above the &gt;$900M guidance floor. The lack of meaningful upward revision despite a strong Q1 beat and confident management tone suggests the market is waiting for Q2 execution to confirm the trajectory before re-rating estimates.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BALL has outperformed sharply since the Q1 beat (+14.1% vs. XLB -1.0% and SPY +4.7%), driven by a combination of </w:t>
      </w:r>
      <w:r>
        <w:rPr>
          <w:rFonts w:ascii="Calibri" w:hAnsi="Calibri"/>
          <w:b/>
          <w:color w:val="525866"/>
          <w:sz w:val="22"/>
        </w:rPr>
        <w:t>estimate revisions and multiple re-rating</w:t>
      </w:r>
      <w:r>
        <w:rPr>
          <w:rFonts w:ascii="Calibri" w:hAnsi="Calibri"/>
          <w:color w:val="525866"/>
          <w:sz w:val="22"/>
        </w:rPr>
        <w:t xml:space="preserve"> as investors gained confidence in the profit-per-can improvement story. The stock’s outperformance relative to both the sector and the market suggests sentiment has shifted from skeptical to constructive, raising the bar for a positive reaction on Q2.</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BALL vs. XLB vs. S&amp;P 500 — Indexed to 100 at Q1 2026 Earnings (May 5, 2026). Source: Yahoo Finance / Stock Price Data.</w:t>
      </w:r>
    </w:p>
    <w:p>
      <w:r>
        <w:rPr>
          <w:rFonts w:ascii="Calibri" w:hAnsi="Calibri"/>
          <w:color w:val="525866"/>
          <w:sz w:val="22"/>
        </w:rPr>
        <w:t>BALL closed at $65.15 on August 4, 2026 (earnings day), up from $57.11 at the Q1 2026 earnings close on May 5, 2026 — a gain of +14.1% over the inter-earnings period. The XLB Materials ETF declined -1.0% over the same period, and the S&amp;P 500 (SPY) gained +4.7%, making BALL’s outperformance approximately +15pp vs. XLB and +9pp vs. the market. The stock’s rally was not linear: BALL drifted lower through mid-June (touching ~$52.62 on June 8) before reversing sharply from June 23 onward, coinciding with improving macro sentiment and the Wells Fargo conference reaffirmation. The late-June/July rally of ~+20% from the June trough reflects both the constructive guidance update and broader sector rotation into materials. Source: Yahoo Finance / Stock Price Data.</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 Q2 2026 earnings calls provide a </w:t>
      </w:r>
      <w:r>
        <w:rPr>
          <w:rFonts w:ascii="Calibri" w:hAnsi="Calibri"/>
          <w:b/>
          <w:color w:val="525866"/>
          <w:sz w:val="22"/>
        </w:rPr>
        <w:t>broadly constructive read-through for BALL</w:t>
      </w:r>
      <w:r>
        <w:rPr>
          <w:rFonts w:ascii="Calibri" w:hAnsi="Calibri"/>
          <w:color w:val="525866"/>
          <w:sz w:val="22"/>
        </w:rPr>
        <w:t xml:space="preserve"> — Crown Holdings (CCK) reported 5% global beverage can volume growth and raised full-year guidance, while Alcoa (AA) confirmed resilient aluminum demand and packaging as the strongest end market. The one cautionary note is CCK’s Brazil softness (volumes down 10% in Latin America in Q2), which partially conflicts with BALL management’s bullish South America commentary.</w:t>
      </w:r>
    </w:p>
    <w:p>
      <w:pPr>
        <w:pStyle w:val="Heading3"/>
      </w:pPr>
      <w:r>
        <w:rPr>
          <w:rFonts w:ascii="Calibri" w:hAnsi="Calibri"/>
          <w:b/>
          <w:color w:val="3B4259"/>
          <w:sz w:val="24"/>
        </w:rPr>
        <w:t>Crown Holdings (CCK) — Q2 2026 Earnings (Reported July 21, 2026)</w:t>
      </w:r>
    </w:p>
    <w:p>
      <w:r>
        <w:rPr>
          <w:rFonts w:ascii="Calibri" w:hAnsi="Calibri"/>
          <w:b/>
          <w:color w:val="525866"/>
          <w:sz w:val="22"/>
        </w:rPr>
        <w:t xml:space="preserve">Relevance: </w:t>
      </w:r>
      <w:r>
        <w:rPr>
          <w:rFonts w:ascii="Calibri" w:hAnsi="Calibri"/>
          <w:color w:val="525866"/>
          <w:sz w:val="22"/>
        </w:rPr>
        <w:t>CCK is BALL’s closest direct peer in global beverage cans. CCK’s Q2 results are the single most important read-through for BALL’s volume and pricing environment.</w:t>
      </w:r>
    </w:p>
    <w:p>
      <w:pPr>
        <w:pStyle w:val="ListBullet"/>
        <w:ind w:left="360" w:hanging="360"/>
      </w:pPr>
      <w:r>
        <w:rPr>
          <w:rFonts w:ascii="Calibri" w:hAnsi="Calibri"/>
          <w:b/>
          <w:color w:val="525866"/>
          <w:sz w:val="22"/>
        </w:rPr>
        <w:t>Global beverage can volumes +5% in Q2 2026</w:t>
      </w:r>
      <w:r>
        <w:rPr>
          <w:rFonts w:ascii="Calibri" w:hAnsi="Calibri"/>
          <w:color w:val="525866"/>
          <w:sz w:val="22"/>
        </w:rPr>
        <w:t xml:space="preserve"> (following +5% in Q1), with the overall market estimated at +3.5% — a strong result for what CCK described as “largely a mature market.” This directly supports BALL’s mid-single-digit volume growth guidance for Q2.</w:t>
      </w:r>
    </w:p>
    <w:p>
      <w:pPr>
        <w:pStyle w:val="ListBullet"/>
        <w:ind w:left="360" w:hanging="360"/>
      </w:pPr>
      <w:r>
        <w:rPr>
          <w:rFonts w:ascii="Calibri" w:hAnsi="Calibri"/>
          <w:b/>
          <w:color w:val="525866"/>
          <w:sz w:val="22"/>
        </w:rPr>
        <w:t>North America volumes +5%</w:t>
      </w:r>
      <w:r>
        <w:rPr>
          <w:rFonts w:ascii="Calibri" w:hAnsi="Calibri"/>
          <w:color w:val="525866"/>
          <w:sz w:val="22"/>
        </w:rPr>
        <w:t>; CCK described the North American market as running at effectively “110% utilization” from April to August, with full-year shipments expected 3-4% above 2025. This is consistent with BALL’s capacity-constrained North America narrative and supports the view that BALL is capturing its contracted share.</w:t>
      </w:r>
    </w:p>
    <w:p>
      <w:pPr>
        <w:pStyle w:val="ListBullet"/>
        <w:ind w:left="360" w:hanging="360"/>
      </w:pPr>
      <w:r>
        <w:rPr>
          <w:rFonts w:ascii="Calibri" w:hAnsi="Calibri"/>
          <w:b/>
          <w:color w:val="525866"/>
          <w:sz w:val="22"/>
        </w:rPr>
        <w:t>Europe volumes +7%</w:t>
      </w:r>
      <w:r>
        <w:rPr>
          <w:rFonts w:ascii="Calibri" w:hAnsi="Calibri"/>
          <w:color w:val="525866"/>
          <w:sz w:val="22"/>
        </w:rPr>
        <w:t xml:space="preserve"> with growth across almost all countries; the European market described as “very tight” and “probably sold out.” CCK commercialized a new line in Greece and has further capacity coming in Spain and a second Greek line. This corroborates BALL’s bullish EMEA outlook and the Benepack acquisition rationale.</w:t>
      </w:r>
    </w:p>
    <w:p>
      <w:pPr>
        <w:pStyle w:val="ListBullet"/>
        <w:ind w:left="360" w:hanging="360"/>
      </w:pPr>
      <w:r>
        <w:rPr>
          <w:rFonts w:ascii="Calibri" w:hAnsi="Calibri"/>
          <w:b/>
          <w:color w:val="525866"/>
          <w:sz w:val="22"/>
        </w:rPr>
        <w:t>Latin America volumes -10%</w:t>
      </w:r>
      <w:r>
        <w:rPr>
          <w:rFonts w:ascii="Calibri" w:hAnsi="Calibri"/>
          <w:b/>
          <w:color w:val="E5484D"/>
          <w:sz w:val="22"/>
        </w:rPr>
        <w:t xml:space="preserve"> in Q2, attributed to customer mix-related softness in Brazil (lower-end consumer struggling, winter seasonality). CCK’s Brazilian team projects to be flat for the full year. </w:t>
      </w:r>
      <w:r>
        <w:rPr>
          <w:rFonts w:ascii="Calibri" w:hAnsi="Calibri"/>
          <w:b/>
          <w:color w:val="525866"/>
          <w:sz w:val="22"/>
        </w:rPr>
        <w:t>This is a partial negative read-through for BALL’s South America segment</w:t>
      </w:r>
      <w:r>
        <w:rPr>
          <w:rFonts w:ascii="Calibri" w:hAnsi="Calibri"/>
          <w:color w:val="525866"/>
          <w:sz w:val="22"/>
        </w:rPr>
        <w:t>, where management guided to “low double, maybe teens” growth for Q2 — the divergence may reflect BALL’s different customer mix (more premium/energy drink exposure) or timing of the April/May recovery.</w:t>
      </w:r>
    </w:p>
    <w:p>
      <w:pPr>
        <w:pStyle w:val="ListBullet"/>
        <w:ind w:left="360" w:hanging="360"/>
      </w:pPr>
      <w:r>
        <w:rPr>
          <w:rFonts w:ascii="Calibri" w:hAnsi="Calibri"/>
          <w:b/>
          <w:color w:val="525866"/>
          <w:sz w:val="22"/>
        </w:rPr>
        <w:t>World Cup contributed ~2% to North American volumes in Q2</w:t>
      </w:r>
      <w:r>
        <w:rPr>
          <w:rFonts w:ascii="Calibri" w:hAnsi="Calibri"/>
          <w:color w:val="525866"/>
          <w:sz w:val="22"/>
        </w:rPr>
        <w:t>; CCK noted this was “beyond what we expected” and will not recur in Q3. This is a modest positive for BALL’s Q2 North America volumes but a headwind to Q3 comps.</w:t>
      </w:r>
    </w:p>
    <w:p>
      <w:pPr>
        <w:pStyle w:val="ListBullet"/>
        <w:ind w:left="360" w:hanging="360"/>
      </w:pPr>
      <w:r>
        <w:rPr>
          <w:rFonts w:ascii="Calibri" w:hAnsi="Calibri"/>
          <w:b/>
          <w:color w:val="525866"/>
          <w:sz w:val="22"/>
        </w:rPr>
        <w:t>CCK raised full-year 2026 adj. EPS guidance to $8.30-$8.50 from $7.90-$8.30</w:t>
      </w:r>
      <w:r>
        <w:rPr>
          <w:rFonts w:ascii="Calibri" w:hAnsi="Calibri"/>
          <w:color w:val="525866"/>
          <w:sz w:val="22"/>
        </w:rPr>
        <w:t xml:space="preserve"> and increased FCF guidance to “at least $900M” from “approximately $900M.” This is a strong positive signal for the beverage can industry’s earnings power and supports BALL’s 10%+ EPS growth algorithm.</w:t>
      </w:r>
    </w:p>
    <w:p>
      <w:pPr>
        <w:pStyle w:val="ListBullet"/>
        <w:ind w:left="360" w:hanging="360"/>
      </w:pPr>
      <w:r>
        <w:rPr>
          <w:rFonts w:ascii="Calibri" w:hAnsi="Calibri"/>
          <w:b/>
          <w:color w:val="525866"/>
          <w:sz w:val="22"/>
        </w:rPr>
        <w:t>Inflation caution for H2 2026:</w:t>
      </w:r>
      <w:r>
        <w:rPr>
          <w:rFonts w:ascii="Calibri" w:hAnsi="Calibri"/>
          <w:color w:val="525866"/>
          <w:sz w:val="22"/>
        </w:rPr>
        <w:t xml:space="preserve"> CCK flagged higher-than-expected inflation in H2 (ocean freight, industrial gases from Middle East crisis) and noted cost recovery mechanisms reset at year-end. This is a watch item for BALL’s H2 margin trajectory, though BALL’s pass-through model is more comprehensive.</w:t>
      </w:r>
    </w:p>
    <w:p>
      <w:pPr>
        <w:pStyle w:val="ListBullet"/>
        <w:ind w:left="360" w:hanging="360"/>
      </w:pPr>
      <w:r>
        <w:rPr>
          <w:rFonts w:ascii="Calibri" w:hAnsi="Calibri"/>
          <w:b/>
          <w:color w:val="525866"/>
          <w:sz w:val="22"/>
        </w:rPr>
        <w:t>Energy drinks and substrate shift:</w:t>
      </w:r>
      <w:r>
        <w:rPr>
          <w:rFonts w:ascii="Calibri" w:hAnsi="Calibri"/>
          <w:color w:val="525866"/>
          <w:sz w:val="22"/>
        </w:rPr>
        <w:t xml:space="preserve"> CCK highlighted “continuing growth in energy drinks, which largely come in cans” as a positive end market development, alongside flavored alcohols and sparkling beverages. Increasing European acceptance of cans vs. glass bottles was also noted. Both themes are central to BALL’s long-term growth thesis.</w:t>
      </w:r>
    </w:p>
    <w:p>
      <w:pPr>
        <w:pStyle w:val="Heading3"/>
      </w:pPr>
      <w:r>
        <w:rPr>
          <w:rFonts w:ascii="Calibri" w:hAnsi="Calibri"/>
          <w:b/>
          <w:color w:val="3B4259"/>
          <w:sz w:val="24"/>
        </w:rPr>
        <w:t>Alcoa (AA) — Q2 2026 Earnings (Reported July 16, 2026)</w:t>
      </w:r>
    </w:p>
    <w:p>
      <w:r>
        <w:rPr>
          <w:rFonts w:ascii="Calibri" w:hAnsi="Calibri"/>
          <w:b/>
          <w:color w:val="525866"/>
          <w:sz w:val="22"/>
        </w:rPr>
        <w:t xml:space="preserve">Relevance: </w:t>
      </w:r>
      <w:r>
        <w:rPr>
          <w:rFonts w:ascii="Calibri" w:hAnsi="Calibri"/>
          <w:color w:val="525866"/>
          <w:sz w:val="22"/>
        </w:rPr>
        <w:t>AA is BALL’s primary aluminum supplier read-through. AA’s commentary on aluminum demand, pricing, and supply dynamics directly informs BALL’s input cost environment and pass-through model.</w:t>
      </w:r>
    </w:p>
    <w:p>
      <w:pPr>
        <w:pStyle w:val="ListBullet"/>
        <w:ind w:left="360" w:hanging="360"/>
      </w:pPr>
      <w:r>
        <w:rPr>
          <w:rFonts w:ascii="Calibri" w:hAnsi="Calibri"/>
          <w:b/>
          <w:color w:val="525866"/>
          <w:sz w:val="22"/>
        </w:rPr>
        <w:t>Packaging is the strongest end market for aluminum slab demand</w:t>
      </w:r>
      <w:r>
        <w:rPr>
          <w:rFonts w:ascii="Calibri" w:hAnsi="Calibri"/>
          <w:color w:val="525866"/>
          <w:sz w:val="22"/>
        </w:rPr>
        <w:t xml:space="preserve"> in both North America and Europe, with AA describing it as “leading the way.” This is a direct positive read-through for BALL’s volume outlook.</w:t>
      </w:r>
    </w:p>
    <w:p>
      <w:pPr>
        <w:pStyle w:val="ListBullet"/>
        <w:ind w:left="360" w:hanging="360"/>
      </w:pPr>
      <w:r>
        <w:rPr>
          <w:rFonts w:ascii="Calibri" w:hAnsi="Calibri"/>
          <w:b/>
          <w:color w:val="525866"/>
          <w:sz w:val="22"/>
        </w:rPr>
        <w:t>Aluminum demand remains resilient in North America and Europe</w:t>
      </w:r>
      <w:r>
        <w:rPr>
          <w:rFonts w:ascii="Calibri" w:hAnsi="Calibri"/>
          <w:color w:val="525866"/>
          <w:sz w:val="22"/>
        </w:rPr>
        <w:t>, with both markets “structurally short of metal.” AA’s 2026 order book is stronger than at the same point in 2025 across all major regions and product categories. This supports BALL’s fully-contracted 2026 position.</w:t>
      </w:r>
    </w:p>
    <w:p>
      <w:pPr>
        <w:pStyle w:val="ListBullet"/>
        <w:ind w:left="360" w:hanging="360"/>
      </w:pPr>
      <w:r>
        <w:rPr>
          <w:rFonts w:ascii="Calibri" w:hAnsi="Calibri"/>
          <w:b/>
          <w:color w:val="525866"/>
          <w:sz w:val="22"/>
        </w:rPr>
        <w:t>LME prices declined sharply in the final two weeks of June</w:t>
      </w:r>
      <w:r>
        <w:rPr>
          <w:rFonts w:ascii="Calibri" w:hAnsi="Calibri"/>
          <w:b/>
          <w:color w:val="E5484D"/>
          <w:sz w:val="22"/>
        </w:rPr>
        <w:t xml:space="preserve"> (returning to pre-Middle East conflict levels), but regional and value-added product premiums continued to strengthen. </w:t>
      </w:r>
      <w:r>
        <w:rPr>
          <w:rFonts w:ascii="Calibri" w:hAnsi="Calibri"/>
          <w:b/>
          <w:color w:val="525866"/>
          <w:sz w:val="22"/>
        </w:rPr>
        <w:t>Lower LME could reduce BALL’s aluminum pass-through revenue in Q2</w:t>
      </w:r>
      <w:r>
        <w:rPr>
          <w:rFonts w:ascii="Calibri" w:hAnsi="Calibri"/>
          <w:color w:val="525866"/>
          <w:sz w:val="22"/>
        </w:rPr>
        <w:t xml:space="preserve"> vs. Q1, though BALL’s contracts are structured to pass through aluminum costs, limiting net earnings impact.</w:t>
      </w:r>
    </w:p>
    <w:p>
      <w:pPr>
        <w:pStyle w:val="ListBullet"/>
        <w:ind w:left="360" w:hanging="360"/>
      </w:pPr>
      <w:r>
        <w:rPr>
          <w:rFonts w:ascii="Calibri" w:hAnsi="Calibri"/>
          <w:b/>
          <w:color w:val="525866"/>
          <w:sz w:val="22"/>
        </w:rPr>
        <w:t>Global aluminum market remains in deficit</w:t>
      </w:r>
      <w:r>
        <w:rPr>
          <w:rFonts w:ascii="Calibri" w:hAnsi="Calibri"/>
          <w:color w:val="525866"/>
          <w:sz w:val="22"/>
        </w:rPr>
        <w:t xml:space="preserve"> with inventories at low levels; Middle East production disruptions continue with uncertain restart timelines. This supports a structurally tight supply environment favorable to BALL’s contracted position.</w:t>
      </w:r>
    </w:p>
    <w:p>
      <w:pPr>
        <w:pStyle w:val="ListBullet"/>
        <w:ind w:left="360" w:hanging="360"/>
      </w:pPr>
      <w:r>
        <w:rPr>
          <w:rFonts w:ascii="Calibri" w:hAnsi="Calibri"/>
          <w:b/>
          <w:color w:val="525866"/>
          <w:sz w:val="22"/>
        </w:rPr>
        <w:t>Section 232 tariff costs on US imports from Canada expected to decrease ~$10M in Q3</w:t>
      </w:r>
      <w:r>
        <w:rPr>
          <w:rFonts w:ascii="Calibri" w:hAnsi="Calibri"/>
          <w:color w:val="525866"/>
          <w:sz w:val="22"/>
        </w:rPr>
        <w:t xml:space="preserve"> (volume-driven, no rate change). BALL management characterized tariff impacts as “de minimis” and “net-net slightly positive” at Q1 earnings — AA’s commentary is consistent with this view.</w:t>
      </w:r>
    </w:p>
    <w:p>
      <w:pPr>
        <w:pStyle w:val="Heading3"/>
      </w:pPr>
      <w:r>
        <w:rPr>
          <w:rFonts w:ascii="Calibri" w:hAnsi="Calibri"/>
          <w:b/>
          <w:color w:val="3B4259"/>
          <w:sz w:val="24"/>
        </w:rPr>
        <w:t>Silgan Holdings (SLGN) — Q2 2026 Earnings (Reported July 29, 2026)</w:t>
      </w:r>
    </w:p>
    <w:p>
      <w:r>
        <w:rPr>
          <w:rFonts w:ascii="Calibri" w:hAnsi="Calibri"/>
          <w:b/>
          <w:color w:val="525866"/>
          <w:sz w:val="22"/>
        </w:rPr>
        <w:t xml:space="preserve">Relevance: </w:t>
      </w:r>
      <w:r>
        <w:rPr>
          <w:rFonts w:ascii="Calibri" w:hAnsi="Calibri"/>
          <w:color w:val="525866"/>
          <w:sz w:val="22"/>
        </w:rPr>
        <w:t>SLGN is a packaging peer with metal container and dispensing/closure exposure. Less directly comparable to BALL’s beverage can business, but provides read-through on consumer demand, Brazil, and packaging cost dynamics.</w:t>
      </w:r>
    </w:p>
    <w:p>
      <w:pPr>
        <w:pStyle w:val="ListBullet"/>
        <w:ind w:left="360" w:hanging="360"/>
      </w:pPr>
      <w:r>
        <w:rPr>
          <w:rFonts w:ascii="Calibri" w:hAnsi="Calibri"/>
          <w:b/>
          <w:color w:val="525866"/>
          <w:sz w:val="22"/>
        </w:rPr>
        <w:t>Brazil market conditions “softer than expected” in Q2</w:t>
      </w:r>
      <w:r>
        <w:rPr>
          <w:rFonts w:ascii="Calibri" w:hAnsi="Calibri"/>
          <w:b/>
          <w:color w:val="E5484D"/>
          <w:sz w:val="22"/>
        </w:rPr>
        <w:t xml:space="preserve"> with ~15% volume decline YoY in SLGN’s Dispensing &amp; Specialty Closures segment, attributed to inflation being passed to consumers. Recovery expected to start in Q4 2026. </w:t>
      </w:r>
      <w:r>
        <w:rPr>
          <w:rFonts w:ascii="Calibri" w:hAnsi="Calibri"/>
          <w:b/>
          <w:color w:val="525866"/>
          <w:sz w:val="22"/>
        </w:rPr>
        <w:t>This is a second data point corroborating CCK’s Brazil softness</w:t>
      </w:r>
      <w:r>
        <w:rPr>
          <w:rFonts w:ascii="Calibri" w:hAnsi="Calibri"/>
          <w:color w:val="525866"/>
          <w:sz w:val="22"/>
        </w:rPr>
        <w:t xml:space="preserve"> and raises questions about BALL’s bullish South America guidance, though BALL’s exposure is primarily beverage cans (different customer base).</w:t>
      </w:r>
    </w:p>
    <w:p>
      <w:pPr>
        <w:pStyle w:val="ListBullet"/>
        <w:ind w:left="360" w:hanging="360"/>
      </w:pPr>
      <w:r>
        <w:rPr>
          <w:rFonts w:ascii="Calibri" w:hAnsi="Calibri"/>
          <w:b/>
          <w:color w:val="525866"/>
          <w:sz w:val="22"/>
        </w:rPr>
        <w:t>North American market “a mixed bag”</w:t>
      </w:r>
      <w:r>
        <w:rPr>
          <w:rFonts w:ascii="Calibri" w:hAnsi="Calibri"/>
          <w:color w:val="525866"/>
          <w:sz w:val="22"/>
        </w:rPr>
        <w:t xml:space="preserve"> — high-end and low-end segments performing well, but the middle market was “choppy” in Q2 due to macro volatility. CPG customers are promoting more to drive volume. This is broadly consistent with BALL’s promotional tailwind thesis (World Cup, America 250).</w:t>
      </w:r>
    </w:p>
    <w:p>
      <w:pPr>
        <w:pStyle w:val="ListBullet"/>
        <w:ind w:left="360" w:hanging="360"/>
      </w:pPr>
      <w:r>
        <w:rPr>
          <w:rFonts w:ascii="Calibri" w:hAnsi="Calibri"/>
          <w:b/>
          <w:color w:val="525866"/>
          <w:sz w:val="22"/>
        </w:rPr>
        <w:t>Metal container volumes flat YoY</w:t>
      </w:r>
      <w:r>
        <w:rPr>
          <w:rFonts w:ascii="Calibri" w:hAnsi="Calibri"/>
          <w:color w:val="525866"/>
          <w:sz w:val="22"/>
        </w:rPr>
        <w:t xml:space="preserve"> (pet food +7% offset by human food declines). Net sales +7% from prior year due to raw material cost pass-through (steel and aluminum). The pass-through dynamic is consistent with BALL’s revenue model.</w:t>
      </w:r>
    </w:p>
    <w:p>
      <w:pPr>
        <w:pStyle w:val="ListBullet"/>
        <w:ind w:left="360" w:hanging="360"/>
      </w:pPr>
      <w:r>
        <w:rPr>
          <w:rFonts w:ascii="Calibri" w:hAnsi="Calibri"/>
          <w:b/>
          <w:color w:val="525866"/>
          <w:sz w:val="22"/>
        </w:rPr>
        <w:t>SLGN confirmed full-year 2026 adj. EPS guidance of $3.73-$3.93</w:t>
      </w:r>
      <w:r>
        <w:rPr>
          <w:rFonts w:ascii="Calibri" w:hAnsi="Calibri"/>
          <w:color w:val="525866"/>
          <w:sz w:val="22"/>
        </w:rPr>
        <w:t xml:space="preserve"> (vs. $3.72 in 2025) — essentially flat growth, a stark contrast to BALL’s 10%+ algorithm. This highlights BALL’s superior volume growth and operating leverage profile within the broader packaging sector.</w:t>
      </w:r>
    </w:p>
    <w:p>
      <w:pPr>
        <w:pStyle w:val="Heading3"/>
      </w:pPr>
      <w:r>
        <w:rPr>
          <w:rFonts w:ascii="Calibri" w:hAnsi="Calibri"/>
          <w:b/>
          <w:color w:val="3B4259"/>
          <w:sz w:val="24"/>
        </w:rPr>
        <w:t>Alcoa (AA) — Wells Fargo Industrials &amp; Materials Conference (June 10, 2026)</w:t>
      </w:r>
    </w:p>
    <w:p>
      <w:r>
        <w:rPr>
          <w:rFonts w:ascii="Calibri" w:hAnsi="Calibri"/>
          <w:b/>
          <w:color w:val="525866"/>
          <w:sz w:val="22"/>
        </w:rPr>
        <w:t xml:space="preserve">Relevance: </w:t>
      </w:r>
      <w:r>
        <w:rPr>
          <w:rFonts w:ascii="Calibri" w:hAnsi="Calibri"/>
          <w:color w:val="525866"/>
          <w:sz w:val="22"/>
        </w:rPr>
        <w:t>Pre-quarter commentary from AA management on aluminum market conditions heading into Q2 2026.</w:t>
      </w:r>
    </w:p>
    <w:p>
      <w:pPr>
        <w:pStyle w:val="ListBullet"/>
        <w:ind w:left="360" w:hanging="360"/>
      </w:pPr>
      <w:r>
        <w:rPr>
          <w:rFonts w:ascii="Calibri" w:hAnsi="Calibri"/>
          <w:b/>
          <w:color w:val="525866"/>
          <w:sz w:val="22"/>
        </w:rPr>
        <w:t>AA described Q2 2026 as a “strong second quarter”</w:t>
      </w:r>
      <w:r>
        <w:rPr>
          <w:rFonts w:ascii="Calibri" w:hAnsi="Calibri"/>
          <w:color w:val="525866"/>
          <w:sz w:val="22"/>
        </w:rPr>
        <w:t xml:space="preserve"> with high aluminum prices driven by Middle East supply disruptions. Strong order books in both North America and Europe, with customers “trying to secure supply for the rest of the year and some even talking into ’27.” This is a positive backdrop for BALL’s contracted aluminum supply position.</w:t>
      </w:r>
    </w:p>
    <w:p>
      <w:pPr>
        <w:pStyle w:val="ListBullet"/>
        <w:ind w:left="360" w:hanging="360"/>
      </w:pPr>
      <w:r>
        <w:rPr>
          <w:rFonts w:ascii="Calibri" w:hAnsi="Calibri"/>
          <w:b/>
          <w:color w:val="525866"/>
          <w:sz w:val="22"/>
        </w:rPr>
        <w:t>Aluminum market was “already tight” entering 2026</w:t>
      </w:r>
      <w:r>
        <w:rPr>
          <w:rFonts w:ascii="Calibri" w:hAnsi="Calibri"/>
          <w:color w:val="525866"/>
          <w:sz w:val="22"/>
        </w:rPr>
        <w:t xml:space="preserve"> with inventories at record low levels globally. The Middle East conflict took “over 2.5 million metric tons of capacity offline,” further tightening supply. This supports BALL’s pass-through model and reduces risk of aluminum cost surprises.</w:t>
      </w:r>
    </w:p>
    <w:p>
      <w:pPr>
        <w:pStyle w:val="ListBullet"/>
        <w:ind w:left="360" w:hanging="360"/>
      </w:pPr>
      <w:r>
        <w:rPr>
          <w:rFonts w:ascii="Calibri" w:hAnsi="Calibri"/>
          <w:b/>
          <w:color w:val="525866"/>
          <w:sz w:val="22"/>
        </w:rPr>
        <w:t>No specific beverage can or energy drink commentary</w:t>
      </w:r>
      <w:r>
        <w:rPr>
          <w:rFonts w:ascii="Calibri" w:hAnsi="Calibri"/>
          <w:color w:val="525866"/>
          <w:sz w:val="22"/>
        </w:rPr>
        <w:t xml:space="preserve"> — AA’s focus was on primary aluminum production and smelter restarts. The packaging read-through is indirect (strong slab demand for packaging) rather than direct.</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Key Signal</w:t>
            </w:r>
          </w:p>
        </w:tc>
        <w:tc>
          <w:tcPr>
            <w:tcW w:type="dxa" w:w="2160"/>
            <w:shd w:val="clear" w:color="auto" w:fill="3B4259"/>
          </w:tcPr>
          <w:p>
            <w:r>
              <w:rPr>
                <w:rFonts w:ascii="Calibri" w:hAnsi="Calibri"/>
                <w:b/>
                <w:color w:val="FFFFFF"/>
                <w:sz w:val="22"/>
              </w:rPr>
              <w:t>BALL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CCK (Q2 2026)</w:t>
            </w:r>
          </w:p>
        </w:tc>
        <w:tc>
          <w:tcPr>
            <w:tcW w:type="dxa" w:w="2160"/>
          </w:tcPr>
          <w:p>
            <w:r>
              <w:rPr>
                <w:rFonts w:ascii="Calibri" w:hAnsi="Calibri"/>
                <w:sz w:val="22"/>
              </w:rPr>
              <w:t>Global bev. can volumes +5%; N. America +5%; Europe +7%; raised FY guidance</w:t>
            </w:r>
          </w:p>
        </w:tc>
        <w:tc>
          <w:tcPr>
            <w:tcW w:type="dxa" w:w="2160"/>
          </w:tcPr>
          <w:p>
            <w:r>
              <w:rPr>
                <w:rFonts w:ascii="Calibri" w:hAnsi="Calibri"/>
                <w:sz w:val="22"/>
              </w:rPr>
              <w:t>Supports BALL’s mid-single-digit Q2 volume guidance; confirms tight European market</w:t>
            </w:r>
          </w:p>
        </w:tc>
        <w:tc>
          <w:tcPr>
            <w:tcW w:type="dxa" w:w="2160"/>
          </w:tcPr>
          <w:p>
            <w:r>
              <w:rPr>
                <w:rFonts w:ascii="Calibri" w:hAnsi="Calibri"/>
                <w:b/>
                <w:color w:val="30A46C"/>
                <w:sz w:val="22"/>
              </w:rPr>
              <w:t>Positive</w:t>
            </w:r>
          </w:p>
        </w:tc>
      </w:tr>
      <w:tr>
        <w:tc>
          <w:tcPr>
            <w:tcW w:type="dxa" w:w="2160"/>
          </w:tcPr>
          <w:p>
            <w:r>
              <w:rPr>
                <w:rFonts w:ascii="Calibri" w:hAnsi="Calibri"/>
                <w:sz w:val="22"/>
              </w:rPr>
              <w:t>CCK (Q2 2026)</w:t>
            </w:r>
          </w:p>
        </w:tc>
        <w:tc>
          <w:tcPr>
            <w:tcW w:type="dxa" w:w="2160"/>
          </w:tcPr>
          <w:p>
            <w:r>
              <w:rPr>
                <w:rFonts w:ascii="Calibri" w:hAnsi="Calibri"/>
                <w:sz w:val="22"/>
              </w:rPr>
              <w:t>Latin America volumes -10%; Brazil lower-end consumer soft</w:t>
            </w:r>
          </w:p>
        </w:tc>
        <w:tc>
          <w:tcPr>
            <w:tcW w:type="dxa" w:w="2160"/>
          </w:tcPr>
          <w:p>
            <w:r>
              <w:rPr>
                <w:rFonts w:ascii="Calibri" w:hAnsi="Calibri"/>
                <w:sz w:val="22"/>
              </w:rPr>
              <w:t>Partial negative for BALL’s South America “low double/teens” guidance; watch customer mix</w:t>
            </w:r>
          </w:p>
        </w:tc>
        <w:tc>
          <w:tcPr>
            <w:tcW w:type="dxa" w:w="2160"/>
          </w:tcPr>
          <w:p>
            <w:r>
              <w:rPr>
                <w:rFonts w:ascii="Calibri" w:hAnsi="Calibri"/>
                <w:b/>
                <w:color w:val="E5484D"/>
                <w:sz w:val="22"/>
              </w:rPr>
              <w:t>Cautionary</w:t>
            </w:r>
          </w:p>
        </w:tc>
      </w:tr>
      <w:tr>
        <w:tc>
          <w:tcPr>
            <w:tcW w:type="dxa" w:w="2160"/>
          </w:tcPr>
          <w:p>
            <w:r>
              <w:rPr>
                <w:rFonts w:ascii="Calibri" w:hAnsi="Calibri"/>
                <w:sz w:val="22"/>
              </w:rPr>
              <w:t>CCK (Q2 2026)</w:t>
            </w:r>
          </w:p>
        </w:tc>
        <w:tc>
          <w:tcPr>
            <w:tcW w:type="dxa" w:w="2160"/>
          </w:tcPr>
          <w:p>
            <w:r>
              <w:rPr>
                <w:rFonts w:ascii="Calibri" w:hAnsi="Calibri"/>
                <w:sz w:val="22"/>
              </w:rPr>
              <w:t>World Cup ~2% of N. America volumes; won’t recur in Q3</w:t>
            </w:r>
          </w:p>
        </w:tc>
        <w:tc>
          <w:tcPr>
            <w:tcW w:type="dxa" w:w="2160"/>
          </w:tcPr>
          <w:p>
            <w:r>
              <w:rPr>
                <w:rFonts w:ascii="Calibri" w:hAnsi="Calibri"/>
                <w:sz w:val="22"/>
              </w:rPr>
              <w:t>Modest Q2 tailwind for BALL N. America; Q3 comp headwind</w:t>
            </w:r>
          </w:p>
        </w:tc>
        <w:tc>
          <w:tcPr>
            <w:tcW w:type="dxa" w:w="2160"/>
          </w:tcPr>
          <w:p>
            <w:r>
              <w:rPr>
                <w:rFonts w:ascii="Calibri" w:hAnsi="Calibri"/>
                <w:sz w:val="22"/>
              </w:rPr>
              <w:t>Mixed</w:t>
            </w:r>
          </w:p>
        </w:tc>
      </w:tr>
      <w:tr>
        <w:tc>
          <w:tcPr>
            <w:tcW w:type="dxa" w:w="2160"/>
          </w:tcPr>
          <w:p>
            <w:r>
              <w:rPr>
                <w:rFonts w:ascii="Calibri" w:hAnsi="Calibri"/>
                <w:sz w:val="22"/>
              </w:rPr>
              <w:t>AA (Q2 2026)</w:t>
            </w:r>
          </w:p>
        </w:tc>
        <w:tc>
          <w:tcPr>
            <w:tcW w:type="dxa" w:w="2160"/>
          </w:tcPr>
          <w:p>
            <w:r>
              <w:rPr>
                <w:rFonts w:ascii="Calibri" w:hAnsi="Calibri"/>
                <w:sz w:val="22"/>
              </w:rPr>
              <w:t>Packaging is strongest aluminum end market; demand resilient in N. America &amp; Europe</w:t>
            </w:r>
          </w:p>
        </w:tc>
        <w:tc>
          <w:tcPr>
            <w:tcW w:type="dxa" w:w="2160"/>
          </w:tcPr>
          <w:p>
            <w:r>
              <w:rPr>
                <w:rFonts w:ascii="Calibri" w:hAnsi="Calibri"/>
                <w:sz w:val="22"/>
              </w:rPr>
              <w:t>Confirms structural demand tailwind for BALL’s beverage can volumes</w:t>
            </w:r>
          </w:p>
        </w:tc>
        <w:tc>
          <w:tcPr>
            <w:tcW w:type="dxa" w:w="2160"/>
          </w:tcPr>
          <w:p>
            <w:r>
              <w:rPr>
                <w:rFonts w:ascii="Calibri" w:hAnsi="Calibri"/>
                <w:b/>
                <w:color w:val="30A46C"/>
                <w:sz w:val="22"/>
              </w:rPr>
              <w:t>Positive</w:t>
            </w:r>
          </w:p>
        </w:tc>
      </w:tr>
      <w:tr>
        <w:tc>
          <w:tcPr>
            <w:tcW w:type="dxa" w:w="2160"/>
          </w:tcPr>
          <w:p>
            <w:r>
              <w:rPr>
                <w:rFonts w:ascii="Calibri" w:hAnsi="Calibri"/>
                <w:sz w:val="22"/>
              </w:rPr>
              <w:t>AA (Q2 2026)</w:t>
            </w:r>
          </w:p>
        </w:tc>
        <w:tc>
          <w:tcPr>
            <w:tcW w:type="dxa" w:w="2160"/>
          </w:tcPr>
          <w:p>
            <w:r>
              <w:rPr>
                <w:rFonts w:ascii="Calibri" w:hAnsi="Calibri"/>
                <w:sz w:val="22"/>
              </w:rPr>
              <w:t>LME prices fell sharply in late June; regional premiums strengthened</w:t>
            </w:r>
          </w:p>
        </w:tc>
        <w:tc>
          <w:tcPr>
            <w:tcW w:type="dxa" w:w="2160"/>
          </w:tcPr>
          <w:p>
            <w:r>
              <w:rPr>
                <w:rFonts w:ascii="Calibri" w:hAnsi="Calibri"/>
                <w:sz w:val="22"/>
              </w:rPr>
              <w:t>Lower LME may reduce BALL’s pass-through revenue; limited EPS impact given pass-through model</w:t>
            </w:r>
          </w:p>
        </w:tc>
        <w:tc>
          <w:tcPr>
            <w:tcW w:type="dxa" w:w="2160"/>
          </w:tcPr>
          <w:p>
            <w:r>
              <w:rPr>
                <w:rFonts w:ascii="Calibri" w:hAnsi="Calibri"/>
                <w:b/>
                <w:color w:val="E5484D"/>
                <w:sz w:val="22"/>
              </w:rPr>
              <w:t>Neutral/Minor</w:t>
            </w:r>
          </w:p>
        </w:tc>
      </w:tr>
      <w:tr>
        <w:tc>
          <w:tcPr>
            <w:tcW w:type="dxa" w:w="2160"/>
          </w:tcPr>
          <w:p>
            <w:r>
              <w:rPr>
                <w:rFonts w:ascii="Calibri" w:hAnsi="Calibri"/>
                <w:sz w:val="22"/>
              </w:rPr>
              <w:t>SLGN (Q2 2026)</w:t>
            </w:r>
          </w:p>
        </w:tc>
        <w:tc>
          <w:tcPr>
            <w:tcW w:type="dxa" w:w="2160"/>
          </w:tcPr>
          <w:p>
            <w:r>
              <w:rPr>
                <w:rFonts w:ascii="Calibri" w:hAnsi="Calibri"/>
                <w:sz w:val="22"/>
              </w:rPr>
              <w:t>Brazil volumes -15% YoY; recovery expected Q4 2026</w:t>
            </w:r>
          </w:p>
        </w:tc>
        <w:tc>
          <w:tcPr>
            <w:tcW w:type="dxa" w:w="2160"/>
          </w:tcPr>
          <w:p>
            <w:r>
              <w:rPr>
                <w:rFonts w:ascii="Calibri" w:hAnsi="Calibri"/>
                <w:sz w:val="22"/>
              </w:rPr>
              <w:t>Second data point on Brazil softness; raises risk to BALL’s bullish S. America guidance</w:t>
            </w:r>
          </w:p>
        </w:tc>
        <w:tc>
          <w:tcPr>
            <w:tcW w:type="dxa" w:w="2160"/>
          </w:tcPr>
          <w:p>
            <w:r>
              <w:rPr>
                <w:rFonts w:ascii="Calibri" w:hAnsi="Calibri"/>
                <w:b/>
                <w:color w:val="E5484D"/>
                <w:sz w:val="22"/>
              </w:rPr>
              <w:t>Cautionary</w:t>
            </w:r>
          </w:p>
        </w:tc>
      </w:tr>
      <w:tr>
        <w:tc>
          <w:tcPr>
            <w:tcW w:type="dxa" w:w="2160"/>
          </w:tcPr>
          <w:p>
            <w:r>
              <w:rPr>
                <w:rFonts w:ascii="Calibri" w:hAnsi="Calibri"/>
                <w:sz w:val="22"/>
              </w:rPr>
              <w:t>SLGN (Q2 2026)</w:t>
            </w:r>
          </w:p>
        </w:tc>
        <w:tc>
          <w:tcPr>
            <w:tcW w:type="dxa" w:w="2160"/>
          </w:tcPr>
          <w:p>
            <w:r>
              <w:rPr>
                <w:rFonts w:ascii="Calibri" w:hAnsi="Calibri"/>
                <w:sz w:val="22"/>
              </w:rPr>
              <w:t>CPG customers promoting more; “much greater focus on volume”</w:t>
            </w:r>
          </w:p>
        </w:tc>
        <w:tc>
          <w:tcPr>
            <w:tcW w:type="dxa" w:w="2160"/>
          </w:tcPr>
          <w:p>
            <w:r>
              <w:rPr>
                <w:rFonts w:ascii="Calibri" w:hAnsi="Calibri"/>
                <w:sz w:val="22"/>
              </w:rPr>
              <w:t>Supports BALL’s promotional tailwind thesis (World Cup, America 250)</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Wells Fargo conference reaffirmation (June 10)</w:t>
      </w:r>
      <w:r>
        <w:rPr>
          <w:rFonts w:ascii="Calibri" w:hAnsi="Calibri"/>
          <w:color w:val="525866"/>
          <w:sz w:val="22"/>
        </w:rPr>
        <w:t xml:space="preserve"> where CEO Ron Lewis upgraded South America guidance to “low double, maybe teens” for Q2 and the full year — a meaningful positive revision that drove the stock’s late-June rally. No analyst rating changes were found in the period.</w:t>
      </w:r>
    </w:p>
    <w:p>
      <w:pPr>
        <w:pStyle w:val="ListBullet"/>
        <w:ind w:left="360" w:hanging="360"/>
      </w:pPr>
      <w:r>
        <w:rPr>
          <w:rFonts w:ascii="Calibri" w:hAnsi="Calibri"/>
          <w:b/>
          <w:color w:val="525866"/>
          <w:sz w:val="22"/>
        </w:rPr>
        <w:t>June 10, 2026 — Wells Fargo Industrials &amp; Materials Conference:</w:t>
      </w:r>
      <w:r>
        <w:rPr>
          <w:rFonts w:ascii="Calibri" w:hAnsi="Calibri"/>
          <w:color w:val="525866"/>
          <w:sz w:val="22"/>
        </w:rPr>
        <w:t xml:space="preserve"> CEO Ron Lewis reaffirmed all FY2026 financial targets (10%+ EPS growth, &gt;$900M FCF, 2.7x net debt/EBITDA) and provided Q2-specific volume guidance of mid-single-digit enterprise growth. Critically, South America guidance was upgraded from “low end of 4-6%” to “low double, maybe teens” for Q2 and the full year, citing April +20% YoY and May “just as strong.” This was the key catalyst for the stock’s late-June rally from ~$52 to ~$62.</w:t>
      </w:r>
    </w:p>
    <w:p>
      <w:pPr>
        <w:pStyle w:val="ListBullet"/>
        <w:ind w:left="360" w:hanging="360"/>
      </w:pPr>
      <w:r>
        <w:rPr>
          <w:rFonts w:ascii="Calibri" w:hAnsi="Calibri"/>
          <w:b/>
          <w:color w:val="525866"/>
          <w:sz w:val="22"/>
        </w:rPr>
        <w:t>July 6, 2026 — Ball Announces Q2 Earnings Date:</w:t>
      </w:r>
      <w:r>
        <w:rPr>
          <w:rFonts w:ascii="Calibri" w:hAnsi="Calibri"/>
          <w:color w:val="525866"/>
          <w:sz w:val="22"/>
        </w:rPr>
        <w:t xml:space="preserve"> Ball confirmed it will report Q2 2026 results on August 4, 2026. No other material information disclosed.</w:t>
      </w:r>
    </w:p>
    <w:p>
      <w:pPr>
        <w:pStyle w:val="ListBullet"/>
        <w:ind w:left="360" w:hanging="360"/>
      </w:pPr>
      <w:r>
        <w:rPr>
          <w:rFonts w:ascii="Calibri" w:hAnsi="Calibri"/>
          <w:b/>
          <w:color w:val="525866"/>
          <w:sz w:val="22"/>
        </w:rPr>
        <w:t>Q2 2026 — Crown Holdings (CCK) Q2 Earnings (July 21):</w:t>
      </w:r>
      <w:r>
        <w:rPr>
          <w:rFonts w:ascii="Calibri" w:hAnsi="Calibri"/>
          <w:b/>
          <w:color w:val="30A46C"/>
          <w:sz w:val="22"/>
        </w:rPr>
        <w:t xml:space="preserve"> CCK reported 5% global beverage can volume growth and raised FY2026 adj. EPS guidance to $8.30-$8.50 (from $7.90-$8.30). This is the strongest positive peer read-through for BALL’s Q2 setup, confirming robust industry demand. </w:t>
      </w:r>
      <w:r>
        <w:rPr>
          <w:rFonts w:ascii="Calibri" w:hAnsi="Calibri"/>
          <w:color w:val="525866"/>
          <w:sz w:val="22"/>
        </w:rPr>
        <w:t>Implication: Supports BALL’s volume guidance and validates the beverage can industry’s pricing power.</w:t>
      </w:r>
    </w:p>
    <w:p>
      <w:pPr>
        <w:pStyle w:val="ListBullet"/>
        <w:ind w:left="360" w:hanging="360"/>
      </w:pPr>
      <w:r>
        <w:rPr>
          <w:rFonts w:ascii="Calibri" w:hAnsi="Calibri"/>
          <w:b/>
          <w:color w:val="525866"/>
          <w:sz w:val="22"/>
        </w:rPr>
        <w:t>Q2 2026 — Alcoa (AA) Q2 Earnings (July 16):</w:t>
      </w:r>
      <w:r>
        <w:rPr>
          <w:rFonts w:ascii="Calibri" w:hAnsi="Calibri"/>
          <w:b/>
          <w:color w:val="30A46C"/>
          <w:sz w:val="22"/>
        </w:rPr>
        <w:t xml:space="preserve"> AA reported record aluminum segment EBITDA of $1.1B and confirmed packaging as the strongest end market. LME prices fell sharply in late June but regional premiums strengthened. </w:t>
      </w:r>
      <w:r>
        <w:rPr>
          <w:rFonts w:ascii="Calibri" w:hAnsi="Calibri"/>
          <w:color w:val="525866"/>
          <w:sz w:val="22"/>
        </w:rPr>
        <w:t>Implication: Confirms resilient aluminum demand; lower LME is a modest revenue headwind for BALL but limited EPS impact given pass-through contracts.</w:t>
      </w:r>
    </w:p>
    <w:p>
      <w:pPr>
        <w:pStyle w:val="ListBullet"/>
        <w:ind w:left="360" w:hanging="360"/>
      </w:pPr>
      <w:r>
        <w:rPr>
          <w:rFonts w:ascii="Calibri" w:hAnsi="Calibri"/>
          <w:b/>
          <w:color w:val="525866"/>
          <w:sz w:val="22"/>
        </w:rPr>
        <w:t>Q2 2026 — Silgan Holdings (SLGN) Q2 Earnings (July 29):</w:t>
      </w:r>
      <w:r>
        <w:rPr>
          <w:rFonts w:ascii="Calibri" w:hAnsi="Calibri"/>
          <w:b/>
          <w:color w:val="E5484D"/>
          <w:sz w:val="22"/>
        </w:rPr>
        <w:t xml:space="preserve"> SLGN reported Brazil volumes down ~15% YoY in its closures segment, with recovery not expected until Q4. </w:t>
      </w:r>
      <w:r>
        <w:rPr>
          <w:rFonts w:ascii="Calibri" w:hAnsi="Calibri"/>
          <w:color w:val="525866"/>
          <w:sz w:val="22"/>
        </w:rPr>
        <w:t>Implication: Second data point on Brazil consumer softness; a risk to BALL’s bullish South America guidance, though BALL’s beverage can customer mix may differ.</w:t>
      </w:r>
    </w:p>
    <w:p>
      <w:pPr>
        <w:pStyle w:val="ListBullet"/>
        <w:ind w:left="360" w:hanging="360"/>
      </w:pPr>
      <w:r>
        <w:rPr>
          <w:rFonts w:ascii="Calibri" w:hAnsi="Calibri"/>
          <w:b/>
          <w:color w:val="525866"/>
          <w:sz w:val="22"/>
        </w:rPr>
        <w:t>Ongoing — Millersburg, Oregon Plant Ramp-Up:</w:t>
      </w:r>
      <w:r>
        <w:rPr>
          <w:rFonts w:ascii="Calibri" w:hAnsi="Calibri"/>
          <w:color w:val="525866"/>
          <w:sz w:val="22"/>
        </w:rPr>
        <w:t xml:space="preserve"> The new greenfield plant remains on track for commissioning in late 2026 with full ramp-up in 2027. $35M of combined Millersburg start-up and NS ends domestication costs are expected in Q2-Q3 2026, heavily weighted to Q3. The timing split between Q2 and Q3 is the key earnings wildcard.</w:t>
      </w:r>
    </w:p>
    <w:p>
      <w:pPr>
        <w:pStyle w:val="ListBullet"/>
        <w:ind w:left="360" w:hanging="360"/>
      </w:pPr>
      <w:r>
        <w:rPr>
          <w:rFonts w:ascii="Calibri" w:hAnsi="Calibri"/>
          <w:b/>
          <w:color w:val="525866"/>
          <w:sz w:val="22"/>
        </w:rPr>
        <w:t>Ongoing — Benepack (Hungary/Belgium) Integration:</w:t>
      </w:r>
      <w:r>
        <w:rPr>
          <w:rFonts w:ascii="Calibri" w:hAnsi="Calibri"/>
          <w:color w:val="525866"/>
          <w:sz w:val="22"/>
        </w:rPr>
        <w:t xml:space="preserve"> The acquisition completed in early February 2026 is being integrated into the EMEA segment. These plants are being ramped to Ball Business System standards and are contributing to EMEA’s above-range volume growth guidance for 2026.</w:t>
      </w:r>
    </w:p>
    <w:p>
      <w:pPr>
        <w:pStyle w:val="ListBullet"/>
        <w:ind w:left="360" w:hanging="360"/>
      </w:pPr>
      <w:r>
        <w:rPr>
          <w:rFonts w:ascii="Calibri" w:hAnsi="Calibri"/>
          <w:b/>
          <w:color w:val="525866"/>
          <w:sz w:val="22"/>
        </w:rPr>
        <w:t>Ongoing — India Capacity Expansion:</w:t>
      </w:r>
      <w:r>
        <w:rPr>
          <w:rFonts w:ascii="Calibri" w:hAnsi="Calibri"/>
          <w:color w:val="525866"/>
          <w:sz w:val="22"/>
        </w:rPr>
        <w:t xml:space="preserve"> Ball has added capacity to one of its two India plants and announced further capacity additions to the second plant. India is growing at “high teens plus 20%” and is now reported within the EMEA segment following the Q1 2026 segment restructuring.</w:t>
      </w:r>
    </w:p>
    <w:p>
      <w:pPr>
        <w:pStyle w:val="ListBullet"/>
        <w:ind w:left="360" w:hanging="360"/>
      </w:pPr>
      <w:r>
        <w:rPr>
          <w:rFonts w:ascii="Calibri" w:hAnsi="Calibri"/>
          <w:b/>
          <w:color w:val="525866"/>
          <w:sz w:val="22"/>
        </w:rPr>
        <w:t>Ongoing — $500M Productivity Program Acceleration:</w:t>
      </w:r>
      <w:r>
        <w:rPr>
          <w:rFonts w:ascii="Calibri" w:hAnsi="Calibri"/>
          <w:color w:val="525866"/>
          <w:sz w:val="22"/>
        </w:rPr>
        <w:t xml:space="preserve"> CEO confirmed delivery by end of 2026, one year ahead of the original schedule. Framed as a “waypoint” with ongoing annual productivity improvements expected indefinitely. This is a key driver of the gross profit improvement commitment.</w:t>
      </w:r>
    </w:p>
    <w:p>
      <w:pPr>
        <w:pStyle w:val="ListBullet"/>
        <w:ind w:left="360" w:hanging="360"/>
      </w:pPr>
      <w:r>
        <w:rPr>
          <w:rFonts w:ascii="Calibri" w:hAnsi="Calibri"/>
          <w:b/>
          <w:color w:val="525866"/>
          <w:sz w:val="22"/>
        </w:rPr>
        <w:t>No analyst rating changes found</w:t>
      </w:r>
      <w:r>
        <w:rPr>
          <w:rFonts w:ascii="Calibri" w:hAnsi="Calibri"/>
          <w:color w:val="525866"/>
          <w:sz w:val="22"/>
        </w:rPr>
        <w:t xml:space="preserve"> for BALL in the period from May 5 to August 3,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or directors since Q1 earnings. The only Form 4 activity reflects routine </w:t>
      </w:r>
      <w:r>
        <w:rPr>
          <w:rFonts w:ascii="Calibri" w:hAnsi="Calibri"/>
          <w:b/>
          <w:color w:val="525866"/>
          <w:sz w:val="22"/>
        </w:rPr>
        <w:t>deferred compensation plan conversions and RSU settlements</w:t>
      </w:r>
      <w:r>
        <w:rPr>
          <w:rFonts w:ascii="Calibri" w:hAnsi="Calibri"/>
          <w:color w:val="525866"/>
          <w:sz w:val="22"/>
        </w:rPr>
        <w:t xml:space="preserve"> by two directors on June 15, 2026 — these are obligation-driven and carry no informational signal about management’s view of the stock.</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Ross, Cathy D.</w:t>
            </w:r>
          </w:p>
        </w:tc>
        <w:tc>
          <w:tcPr>
            <w:tcW w:type="dxa" w:w="1234"/>
          </w:tcPr>
          <w:p>
            <w:r>
              <w:rPr>
                <w:rFonts w:ascii="Calibri" w:hAnsi="Calibri"/>
                <w:sz w:val="22"/>
              </w:rPr>
              <w:t>Director</w:t>
            </w:r>
          </w:p>
        </w:tc>
        <w:tc>
          <w:tcPr>
            <w:tcW w:type="dxa" w:w="1234"/>
          </w:tcPr>
          <w:p>
            <w:r>
              <w:rPr>
                <w:rFonts w:ascii="Calibri" w:hAnsi="Calibri"/>
                <w:sz w:val="22"/>
              </w:rPr>
              <w:t>Deferred Comp. Plan Conversion (Acquisition)</w:t>
            </w:r>
          </w:p>
        </w:tc>
        <w:tc>
          <w:tcPr>
            <w:tcW w:type="dxa" w:w="1234"/>
          </w:tcPr>
          <w:p>
            <w:r>
              <w:rPr>
                <w:rFonts w:ascii="Calibri" w:hAnsi="Calibri"/>
                <w:sz w:val="22"/>
              </w:rPr>
              <w:t>Deferred Comp. Co. Stock Plan</w:t>
            </w:r>
          </w:p>
        </w:tc>
        <w:tc>
          <w:tcPr>
            <w:tcW w:type="dxa" w:w="1234"/>
          </w:tcPr>
          <w:p>
            <w:r>
              <w:rPr>
                <w:rFonts w:ascii="Calibri" w:hAnsi="Calibri"/>
                <w:sz w:val="22"/>
              </w:rPr>
              <w:t>102</w:t>
            </w:r>
          </w:p>
        </w:tc>
        <w:tc>
          <w:tcPr>
            <w:tcW w:type="dxa" w:w="1234"/>
          </w:tcPr>
          <w:p>
            <w:r>
              <w:rPr>
                <w:rFonts w:ascii="Calibri" w:hAnsi="Calibri"/>
                <w:sz w:val="22"/>
              </w:rPr>
              <w:t>June 15, 2026</w:t>
            </w:r>
          </w:p>
        </w:tc>
        <w:tc>
          <w:tcPr>
            <w:tcW w:type="dxa" w:w="1234"/>
          </w:tcPr>
          <w:p>
            <w:r>
              <w:rPr>
                <w:rFonts w:ascii="Calibri" w:hAnsi="Calibri"/>
                <w:sz w:val="22"/>
              </w:rPr>
              <w:t>Routine plan conversion; not a discretionary open-market buy</w:t>
            </w:r>
          </w:p>
        </w:tc>
      </w:tr>
      <w:tr>
        <w:tc>
          <w:tcPr>
            <w:tcW w:type="dxa" w:w="1234"/>
          </w:tcPr>
          <w:p>
            <w:r>
              <w:rPr>
                <w:rFonts w:ascii="Calibri" w:hAnsi="Calibri"/>
                <w:sz w:val="22"/>
              </w:rPr>
              <w:t>Ross, Cathy D.</w:t>
            </w:r>
          </w:p>
        </w:tc>
        <w:tc>
          <w:tcPr>
            <w:tcW w:type="dxa" w:w="1234"/>
          </w:tcPr>
          <w:p>
            <w:r>
              <w:rPr>
                <w:rFonts w:ascii="Calibri" w:hAnsi="Calibri"/>
                <w:sz w:val="22"/>
              </w:rPr>
              <w:t>Director</w:t>
            </w:r>
          </w:p>
        </w:tc>
        <w:tc>
          <w:tcPr>
            <w:tcW w:type="dxa" w:w="1234"/>
          </w:tcPr>
          <w:p>
            <w:r>
              <w:rPr>
                <w:rFonts w:ascii="Calibri" w:hAnsi="Calibri"/>
                <w:sz w:val="22"/>
              </w:rPr>
              <w:t>RSU Settlement (Disposition)</w:t>
            </w:r>
          </w:p>
        </w:tc>
        <w:tc>
          <w:tcPr>
            <w:tcW w:type="dxa" w:w="1234"/>
          </w:tcPr>
          <w:p>
            <w:r>
              <w:rPr>
                <w:rFonts w:ascii="Calibri" w:hAnsi="Calibri"/>
                <w:sz w:val="22"/>
              </w:rPr>
              <w:t>Restricted Stock Units</w:t>
            </w:r>
          </w:p>
        </w:tc>
        <w:tc>
          <w:tcPr>
            <w:tcW w:type="dxa" w:w="1234"/>
          </w:tcPr>
          <w:p>
            <w:r>
              <w:rPr>
                <w:rFonts w:ascii="Calibri" w:hAnsi="Calibri"/>
                <w:sz w:val="22"/>
              </w:rPr>
              <w:t>102</w:t>
            </w:r>
          </w:p>
        </w:tc>
        <w:tc>
          <w:tcPr>
            <w:tcW w:type="dxa" w:w="1234"/>
          </w:tcPr>
          <w:p>
            <w:r>
              <w:rPr>
                <w:rFonts w:ascii="Calibri" w:hAnsi="Calibri"/>
                <w:sz w:val="22"/>
              </w:rPr>
              <w:t>June 15, 2026</w:t>
            </w:r>
          </w:p>
        </w:tc>
        <w:tc>
          <w:tcPr>
            <w:tcW w:type="dxa" w:w="1234"/>
          </w:tcPr>
          <w:p>
            <w:r>
              <w:rPr>
                <w:rFonts w:ascii="Calibri" w:hAnsi="Calibri"/>
                <w:sz w:val="22"/>
              </w:rPr>
              <w:t>RSU vesting/settlement; obligation-driven, not a discretionary sale</w:t>
            </w:r>
          </w:p>
        </w:tc>
      </w:tr>
      <w:tr>
        <w:tc>
          <w:tcPr>
            <w:tcW w:type="dxa" w:w="1234"/>
          </w:tcPr>
          <w:p>
            <w:r>
              <w:rPr>
                <w:rFonts w:ascii="Calibri" w:hAnsi="Calibri"/>
                <w:sz w:val="22"/>
              </w:rPr>
              <w:t>Sapp, Betty J.</w:t>
            </w:r>
          </w:p>
        </w:tc>
        <w:tc>
          <w:tcPr>
            <w:tcW w:type="dxa" w:w="1234"/>
          </w:tcPr>
          <w:p>
            <w:r>
              <w:rPr>
                <w:rFonts w:ascii="Calibri" w:hAnsi="Calibri"/>
                <w:sz w:val="22"/>
              </w:rPr>
              <w:t>Director</w:t>
            </w:r>
          </w:p>
        </w:tc>
        <w:tc>
          <w:tcPr>
            <w:tcW w:type="dxa" w:w="1234"/>
          </w:tcPr>
          <w:p>
            <w:r>
              <w:rPr>
                <w:rFonts w:ascii="Calibri" w:hAnsi="Calibri"/>
                <w:sz w:val="22"/>
              </w:rPr>
              <w:t>Director Compensation Grant (Acquisition)</w:t>
            </w:r>
          </w:p>
        </w:tc>
        <w:tc>
          <w:tcPr>
            <w:tcW w:type="dxa" w:w="1234"/>
          </w:tcPr>
          <w:p>
            <w:r>
              <w:rPr>
                <w:rFonts w:ascii="Calibri" w:hAnsi="Calibri"/>
                <w:sz w:val="22"/>
              </w:rPr>
              <w:t>Deferred Comp. Co. Stock Plan</w:t>
            </w:r>
          </w:p>
        </w:tc>
        <w:tc>
          <w:tcPr>
            <w:tcW w:type="dxa" w:w="1234"/>
          </w:tcPr>
          <w:p>
            <w:r>
              <w:rPr>
                <w:rFonts w:ascii="Calibri" w:hAnsi="Calibri"/>
                <w:sz w:val="22"/>
              </w:rPr>
              <w:t>229</w:t>
            </w:r>
          </w:p>
        </w:tc>
        <w:tc>
          <w:tcPr>
            <w:tcW w:type="dxa" w:w="1234"/>
          </w:tcPr>
          <w:p>
            <w:r>
              <w:rPr>
                <w:rFonts w:ascii="Calibri" w:hAnsi="Calibri"/>
                <w:sz w:val="22"/>
              </w:rPr>
              <w:t>June 15, 2026</w:t>
            </w:r>
          </w:p>
        </w:tc>
        <w:tc>
          <w:tcPr>
            <w:tcW w:type="dxa" w:w="1234"/>
          </w:tcPr>
          <w:p>
            <w:r>
              <w:rPr>
                <w:rFonts w:ascii="Calibri" w:hAnsi="Calibri"/>
                <w:sz w:val="22"/>
              </w:rPr>
              <w:t>Annual director compensation grant; routine</w:t>
            </w:r>
          </w:p>
        </w:tc>
      </w:tr>
      <w:tr>
        <w:tc>
          <w:tcPr>
            <w:tcW w:type="dxa" w:w="1234"/>
          </w:tcPr>
          <w:p>
            <w:r>
              <w:rPr>
                <w:rFonts w:ascii="Calibri" w:hAnsi="Calibri"/>
                <w:sz w:val="22"/>
              </w:rPr>
              <w:t>Sapp, Betty J.</w:t>
            </w:r>
          </w:p>
        </w:tc>
        <w:tc>
          <w:tcPr>
            <w:tcW w:type="dxa" w:w="1234"/>
          </w:tcPr>
          <w:p>
            <w:r>
              <w:rPr>
                <w:rFonts w:ascii="Calibri" w:hAnsi="Calibri"/>
                <w:sz w:val="22"/>
              </w:rPr>
              <w:t>Director</w:t>
            </w:r>
          </w:p>
        </w:tc>
        <w:tc>
          <w:tcPr>
            <w:tcW w:type="dxa" w:w="1234"/>
          </w:tcPr>
          <w:p>
            <w:r>
              <w:rPr>
                <w:rFonts w:ascii="Calibri" w:hAnsi="Calibri"/>
                <w:sz w:val="22"/>
              </w:rPr>
              <w:t>Deferred Comp. Plan Conversion (Acquisition)</w:t>
            </w:r>
          </w:p>
        </w:tc>
        <w:tc>
          <w:tcPr>
            <w:tcW w:type="dxa" w:w="1234"/>
          </w:tcPr>
          <w:p>
            <w:r>
              <w:rPr>
                <w:rFonts w:ascii="Calibri" w:hAnsi="Calibri"/>
                <w:sz w:val="22"/>
              </w:rPr>
              <w:t>Deferred Comp. Co. Stock Plan</w:t>
            </w:r>
          </w:p>
        </w:tc>
        <w:tc>
          <w:tcPr>
            <w:tcW w:type="dxa" w:w="1234"/>
          </w:tcPr>
          <w:p>
            <w:r>
              <w:rPr>
                <w:rFonts w:ascii="Calibri" w:hAnsi="Calibri"/>
                <w:sz w:val="22"/>
              </w:rPr>
              <w:t>1,145</w:t>
            </w:r>
          </w:p>
        </w:tc>
        <w:tc>
          <w:tcPr>
            <w:tcW w:type="dxa" w:w="1234"/>
          </w:tcPr>
          <w:p>
            <w:r>
              <w:rPr>
                <w:rFonts w:ascii="Calibri" w:hAnsi="Calibri"/>
                <w:sz w:val="22"/>
              </w:rPr>
              <w:t>June 15, 2026</w:t>
            </w:r>
          </w:p>
        </w:tc>
        <w:tc>
          <w:tcPr>
            <w:tcW w:type="dxa" w:w="1234"/>
          </w:tcPr>
          <w:p>
            <w:r>
              <w:rPr>
                <w:rFonts w:ascii="Calibri" w:hAnsi="Calibri"/>
                <w:sz w:val="22"/>
              </w:rPr>
              <w:t>Routine plan conversion; not a discretionary open-market buy</w:t>
            </w:r>
          </w:p>
        </w:tc>
      </w:tr>
      <w:tr>
        <w:tc>
          <w:tcPr>
            <w:tcW w:type="dxa" w:w="1234"/>
          </w:tcPr>
          <w:p>
            <w:r>
              <w:rPr>
                <w:rFonts w:ascii="Calibri" w:hAnsi="Calibri"/>
                <w:sz w:val="22"/>
              </w:rPr>
              <w:t>Sapp, Betty J.</w:t>
            </w:r>
          </w:p>
        </w:tc>
        <w:tc>
          <w:tcPr>
            <w:tcW w:type="dxa" w:w="1234"/>
          </w:tcPr>
          <w:p>
            <w:r>
              <w:rPr>
                <w:rFonts w:ascii="Calibri" w:hAnsi="Calibri"/>
                <w:sz w:val="22"/>
              </w:rPr>
              <w:t>Director</w:t>
            </w:r>
          </w:p>
        </w:tc>
        <w:tc>
          <w:tcPr>
            <w:tcW w:type="dxa" w:w="1234"/>
          </w:tcPr>
          <w:p>
            <w:r>
              <w:rPr>
                <w:rFonts w:ascii="Calibri" w:hAnsi="Calibri"/>
                <w:sz w:val="22"/>
              </w:rPr>
              <w:t>RSU Settlement (Disposition)</w:t>
            </w:r>
          </w:p>
        </w:tc>
        <w:tc>
          <w:tcPr>
            <w:tcW w:type="dxa" w:w="1234"/>
          </w:tcPr>
          <w:p>
            <w:r>
              <w:rPr>
                <w:rFonts w:ascii="Calibri" w:hAnsi="Calibri"/>
                <w:sz w:val="22"/>
              </w:rPr>
              <w:t>Restricted Stock Units</w:t>
            </w:r>
          </w:p>
        </w:tc>
        <w:tc>
          <w:tcPr>
            <w:tcW w:type="dxa" w:w="1234"/>
          </w:tcPr>
          <w:p>
            <w:r>
              <w:rPr>
                <w:rFonts w:ascii="Calibri" w:hAnsi="Calibri"/>
                <w:sz w:val="22"/>
              </w:rPr>
              <w:t>1,145</w:t>
            </w:r>
          </w:p>
        </w:tc>
        <w:tc>
          <w:tcPr>
            <w:tcW w:type="dxa" w:w="1234"/>
          </w:tcPr>
          <w:p>
            <w:r>
              <w:rPr>
                <w:rFonts w:ascii="Calibri" w:hAnsi="Calibri"/>
                <w:sz w:val="22"/>
              </w:rPr>
              <w:t>June 15, 2026</w:t>
            </w:r>
          </w:p>
        </w:tc>
        <w:tc>
          <w:tcPr>
            <w:tcW w:type="dxa" w:w="1234"/>
          </w:tcPr>
          <w:p>
            <w:r>
              <w:rPr>
                <w:rFonts w:ascii="Calibri" w:hAnsi="Calibri"/>
                <w:sz w:val="22"/>
              </w:rPr>
              <w:t>RSU vesting/settlement; obligation-driven, not a discretionary sale</w:t>
            </w:r>
          </w:p>
        </w:tc>
      </w:tr>
    </w:tbl>
    <w:p>
      <w:r>
        <w:rPr>
          <w:rFonts w:ascii="Calibri" w:hAnsi="Calibri"/>
          <w:color w:val="525866"/>
          <w:sz w:val="22"/>
        </w:rPr>
        <w:t>All Form 4 activity on June 15, 2026 relates to routine director compensation plan mechanics (deferred compensation conversions and RSU settlements). These transactions are obligation-driven and carry no informational signal. There were no open-market purchases (Form 4 code P) or discretionary sales (Form 4 code S) by any executive officer or director during the period from May 5 to August 3, 2026. The absence of insider buying despite the stock’s +14% rally is neutral — not a negative signal given the stock’s strong performance. Source: SEC Form 4 Filings /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