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Ball Corporation (BALL) — Q2 2026 Earnings Preview</w:t>
      </w:r>
    </w:p>
    <w:p>
      <w:r>
        <w:rPr>
          <w:rFonts w:ascii="Calibri" w:hAnsi="Calibri"/>
          <w:b/>
          <w:color w:val="525866"/>
          <w:sz w:val="22"/>
        </w:rPr>
        <w:t xml:space="preserve">Ticker: </w:t>
      </w:r>
      <w:r>
        <w:rPr>
          <w:rFonts w:ascii="Calibri" w:hAnsi="Calibri"/>
          <w:color w:val="525866"/>
          <w:sz w:val="22"/>
        </w:rPr>
        <w:t xml:space="preserve">BALL  </w:t>
      </w:r>
      <w:r>
        <w:rPr>
          <w:rFonts w:ascii="Calibri" w:hAnsi="Calibri"/>
          <w:b/>
          <w:color w:val="525866"/>
          <w:sz w:val="22"/>
        </w:rPr>
        <w:t xml:space="preserve">Earnings Date: </w:t>
      </w:r>
      <w:r>
        <w:rPr>
          <w:rFonts w:ascii="Calibri" w:hAnsi="Calibri"/>
          <w:color w:val="525866"/>
          <w:sz w:val="22"/>
        </w:rPr>
        <w:t xml:space="preserve">August 4, 2026 (pre-market)  </w:t>
      </w:r>
      <w:r>
        <w:rPr>
          <w:rFonts w:ascii="Calibri" w:hAnsi="Calibri"/>
          <w:b/>
          <w:color w:val="525866"/>
          <w:sz w:val="22"/>
        </w:rPr>
        <w:t xml:space="preserve">Prepared: </w:t>
      </w:r>
      <w:r>
        <w:rPr>
          <w:rFonts w:ascii="Calibri" w:hAnsi="Calibri"/>
          <w:color w:val="525866"/>
          <w:sz w:val="22"/>
        </w:rPr>
        <w:t xml:space="preserve">August 3,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management guided explicitly to mid-single-digit enterprise volume growth for Q2 (the 10th consecutive quarter of growth), and peer commentary from CCK and AMBP confirms North America and Europe demand remained firm through July; the primary swing factor is whether the South America volume recovery that was tracking at +20% in April/May sustained through June.</w:t>
      </w:r>
    </w:p>
    <w:p>
      <w:r>
        <w:rPr>
          <w:rFonts w:ascii="Calibri" w:hAnsi="Calibri"/>
          <w:color w:val="525866"/>
          <w:sz w:val="22"/>
        </w:rPr>
        <w:t xml:space="preserve">Ball enters Q2 2026 earnings with a constructive setup: the bar is not stretched, management has been unusually specific about the quarter, and the structural story is intact. At the June 10 Wells Fargo conference, CEO Ron Lewis guided explicitly to </w:t>
      </w:r>
      <w:r>
        <w:rPr>
          <w:rFonts w:ascii="Calibri" w:hAnsi="Calibri"/>
          <w:b/>
          <w:color w:val="525866"/>
          <w:sz w:val="22"/>
        </w:rPr>
        <w:t>mid-single-digit enterprise volume growth</w:t>
      </w:r>
      <w:r>
        <w:rPr>
          <w:rFonts w:ascii="Calibri" w:hAnsi="Calibri"/>
          <w:color w:val="525866"/>
          <w:sz w:val="22"/>
        </w:rPr>
        <w:t xml:space="preserve"> for Q2 — the company's 10th consecutive quarter of volume expansion — and confirmed South America's April volumes were up 20% year-over-year with May "just as strong," effectively erasing the Q1 shortfall. Full-year guidance of </w:t>
      </w:r>
      <w:r>
        <w:rPr>
          <w:rFonts w:ascii="Calibri" w:hAnsi="Calibri"/>
          <w:b/>
          <w:color w:val="525866"/>
          <w:sz w:val="22"/>
        </w:rPr>
        <w:t>10%-plus comparable diluted EPS growth</w:t>
      </w:r>
      <w:r>
        <w:rPr>
          <w:rFonts w:ascii="Calibri" w:hAnsi="Calibri"/>
          <w:color w:val="525866"/>
          <w:sz w:val="22"/>
        </w:rPr>
        <w:t xml:space="preserve"> and </w:t>
      </w:r>
      <w:r>
        <w:rPr>
          <w:rFonts w:ascii="Calibri" w:hAnsi="Calibri"/>
          <w:b/>
          <w:color w:val="525866"/>
          <w:sz w:val="22"/>
        </w:rPr>
        <w:t>free cash flow greater than $900 million</w:t>
      </w:r>
      <w:r>
        <w:rPr>
          <w:rFonts w:ascii="Calibri" w:hAnsi="Calibri"/>
          <w:color w:val="525866"/>
          <w:sz w:val="22"/>
        </w:rPr>
        <w:t xml:space="preserve"> was reaffirmed without qualification. Consensus EPS for Q2 sits at ~$0.97, a step up from Q1's $0.94 actual but well within the trajectory implied by management's algorithm; the estimate has drifted only modestly since the Q1 print, suggesting the Street is not aggressively front-running a beat. The stock has rallied ~14% since the May 5 earnings date, outperforming XLP, which compresses the margin for error on valuation — BALL now trades at ~15x NTM P/E versus a historically depressed base — but the multiple is still well below peak and the EV/EBITDA of ~10.9x is not demanding for a business delivering record free cash flow. The key wildcard is </w:t>
      </w:r>
      <w:r>
        <w:rPr>
          <w:rFonts w:ascii="Calibri" w:hAnsi="Calibri"/>
          <w:b/>
          <w:color w:val="525866"/>
          <w:sz w:val="22"/>
        </w:rPr>
        <w:t>$35 million of Millersburg start-up and NS domestication costs</w:t>
      </w:r>
      <w:r>
        <w:rPr>
          <w:rFonts w:ascii="Calibri" w:hAnsi="Calibri"/>
          <w:color w:val="525866"/>
          <w:sz w:val="22"/>
        </w:rPr>
        <w:t xml:space="preserve"> that management flagged would begin hitting in Q2 and concentrate in Q3; if these costs land heavier than expected in Q2, operating leverage in North America could disappoint even against a volume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both revenue (~$3.64B, +9% YoY) and operating EPS (~$0.97, +8% YoY); the bigger swing factor is operating EBITDA margin and whether North America absorbs start-up costs without missing the 2x operating leverage target.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w:t>
            </w:r>
          </w:p>
        </w:tc>
        <w:tc>
          <w:tcPr>
            <w:tcW w:type="dxa" w:w="1234"/>
          </w:tcPr>
          <w:p>
            <w:r>
              <w:rPr>
                <w:rFonts w:ascii="Calibri" w:hAnsi="Calibri"/>
                <w:sz w:val="22"/>
              </w:rPr>
              <w:t>$3.603B</w:t>
            </w:r>
          </w:p>
        </w:tc>
        <w:tc>
          <w:tcPr>
            <w:tcW w:type="dxa" w:w="1234"/>
          </w:tcPr>
          <w:p>
            <w:r>
              <w:rPr>
                <w:rFonts w:ascii="Calibri" w:hAnsi="Calibri"/>
                <w:sz w:val="22"/>
              </w:rPr>
              <w:t>$3.338B</w:t>
            </w:r>
          </w:p>
        </w:tc>
        <w:tc>
          <w:tcPr>
            <w:tcW w:type="dxa" w:w="1234"/>
          </w:tcPr>
          <w:p>
            <w:r>
              <w:rPr>
                <w:rFonts w:ascii="Calibri" w:hAnsi="Calibri"/>
                <w:sz w:val="22"/>
              </w:rPr>
              <w:t>$3.642B</w:t>
            </w:r>
          </w:p>
        </w:tc>
        <w:tc>
          <w:tcPr>
            <w:tcW w:type="dxa" w:w="1234"/>
          </w:tcPr>
          <w:p>
            <w:r>
              <w:rPr>
                <w:rFonts w:ascii="Calibri" w:hAnsi="Calibri"/>
                <w:b/>
                <w:color w:val="30A46C"/>
                <w:sz w:val="22"/>
              </w:rPr>
              <w:t>+9.1%</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EPS — Diluted Operating</w:t>
            </w:r>
          </w:p>
        </w:tc>
        <w:tc>
          <w:tcPr>
            <w:tcW w:type="dxa" w:w="1234"/>
          </w:tcPr>
          <w:p>
            <w:r>
              <w:rPr>
                <w:rFonts w:ascii="Calibri" w:hAnsi="Calibri"/>
                <w:sz w:val="22"/>
              </w:rPr>
              <w:t>$0.94</w:t>
            </w:r>
          </w:p>
        </w:tc>
        <w:tc>
          <w:tcPr>
            <w:tcW w:type="dxa" w:w="1234"/>
          </w:tcPr>
          <w:p>
            <w:r>
              <w:rPr>
                <w:rFonts w:ascii="Calibri" w:hAnsi="Calibri"/>
                <w:sz w:val="22"/>
              </w:rPr>
              <w:t>$0.90</w:t>
            </w:r>
          </w:p>
        </w:tc>
        <w:tc>
          <w:tcPr>
            <w:tcW w:type="dxa" w:w="1234"/>
          </w:tcPr>
          <w:p>
            <w:r>
              <w:rPr>
                <w:rFonts w:ascii="Calibri" w:hAnsi="Calibri"/>
                <w:sz w:val="22"/>
              </w:rPr>
              <w:t>$0.97</w:t>
            </w:r>
          </w:p>
        </w:tc>
        <w:tc>
          <w:tcPr>
            <w:tcW w:type="dxa" w:w="1234"/>
          </w:tcPr>
          <w:p>
            <w:r>
              <w:rPr>
                <w:rFonts w:ascii="Calibri" w:hAnsi="Calibri"/>
                <w:b/>
                <w:color w:val="30A46C"/>
                <w:sz w:val="22"/>
              </w:rPr>
              <w:t>+7.8%</w:t>
            </w:r>
          </w:p>
        </w:tc>
        <w:tc>
          <w:tcPr>
            <w:tcW w:type="dxa" w:w="1234"/>
          </w:tcPr>
          <w:p>
            <w:r>
              <w:rPr>
                <w:rFonts w:ascii="Calibri" w:hAnsi="Calibri"/>
                <w:sz w:val="22"/>
              </w:rPr>
              <w:t>10%+ full-year growth</w:t>
            </w:r>
          </w:p>
        </w:tc>
        <w:tc>
          <w:tcPr>
            <w:tcW w:type="dxa" w:w="1234"/>
          </w:tcPr>
          <w:p>
            <w:r>
              <w:rPr>
                <w:rFonts w:ascii="Calibri" w:hAnsi="Calibri"/>
                <w:sz w:val="22"/>
              </w:rPr>
              <w:t>Tracking in-line</w:t>
            </w:r>
          </w:p>
        </w:tc>
      </w:tr>
      <w:tr>
        <w:tc>
          <w:tcPr>
            <w:tcW w:type="dxa" w:w="1234"/>
          </w:tcPr>
          <w:p>
            <w:r>
              <w:rPr>
                <w:rFonts w:ascii="Calibri" w:hAnsi="Calibri"/>
                <w:sz w:val="22"/>
              </w:rPr>
              <w:t>Operating EBITDA</w:t>
            </w:r>
          </w:p>
        </w:tc>
        <w:tc>
          <w:tcPr>
            <w:tcW w:type="dxa" w:w="1234"/>
          </w:tcPr>
          <w:p>
            <w:r>
              <w:rPr>
                <w:rFonts w:ascii="Calibri" w:hAnsi="Calibri"/>
                <w:sz w:val="22"/>
              </w:rPr>
              <w:t>$509M</w:t>
            </w:r>
          </w:p>
        </w:tc>
        <w:tc>
          <w:tcPr>
            <w:tcW w:type="dxa" w:w="1234"/>
          </w:tcPr>
          <w:p>
            <w:r>
              <w:rPr>
                <w:rFonts w:ascii="Calibri" w:hAnsi="Calibri"/>
                <w:sz w:val="22"/>
              </w:rPr>
              <w:t>$519M</w:t>
            </w:r>
          </w:p>
        </w:tc>
        <w:tc>
          <w:tcPr>
            <w:tcW w:type="dxa" w:w="1234"/>
          </w:tcPr>
          <w:p>
            <w:r>
              <w:rPr>
                <w:rFonts w:ascii="Calibri" w:hAnsi="Calibri"/>
                <w:sz w:val="22"/>
              </w:rPr>
              <w:t>$536M</w:t>
            </w:r>
          </w:p>
        </w:tc>
        <w:tc>
          <w:tcPr>
            <w:tcW w:type="dxa" w:w="1234"/>
          </w:tcPr>
          <w:p>
            <w:r>
              <w:rPr>
                <w:rFonts w:ascii="Calibri" w:hAnsi="Calibri"/>
                <w:b/>
                <w:color w:val="30A46C"/>
                <w:sz w:val="22"/>
              </w:rPr>
              <w:t>+3.3%</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($938M)</w:t>
            </w:r>
          </w:p>
        </w:tc>
        <w:tc>
          <w:tcPr>
            <w:tcW w:type="dxa" w:w="1234"/>
          </w:tcPr>
          <w:p>
            <w:r>
              <w:rPr>
                <w:rFonts w:ascii="Calibri" w:hAnsi="Calibri"/>
                <w:sz w:val="22"/>
              </w:rPr>
              <w:t>$236M</w:t>
            </w:r>
          </w:p>
        </w:tc>
        <w:tc>
          <w:tcPr>
            <w:tcW w:type="dxa" w:w="1234"/>
          </w:tcPr>
          <w:p>
            <w:r>
              <w:rPr>
                <w:rFonts w:ascii="Calibri" w:hAnsi="Calibri"/>
                <w:sz w:val="22"/>
              </w:rPr>
              <w:t>$621M</w:t>
            </w:r>
          </w:p>
        </w:tc>
        <w:tc>
          <w:tcPr>
            <w:tcW w:type="dxa" w:w="1234"/>
          </w:tcPr>
          <w:p>
            <w:r>
              <w:rPr>
                <w:rFonts w:ascii="Calibri" w:hAnsi="Calibri"/>
                <w:sz w:val="22"/>
              </w:rPr>
              <w:t>N/M (Q1 seasonally negative)</w:t>
            </w:r>
          </w:p>
        </w:tc>
        <w:tc>
          <w:tcPr>
            <w:tcW w:type="dxa" w:w="1234"/>
          </w:tcPr>
          <w:p>
            <w:r>
              <w:rPr>
                <w:rFonts w:ascii="Calibri" w:hAnsi="Calibri"/>
                <w:sz w:val="22"/>
              </w:rPr>
              <w:t>&gt;$900M full year</w:t>
            </w:r>
          </w:p>
        </w:tc>
        <w:tc>
          <w:tcPr>
            <w:tcW w:type="dxa" w:w="1234"/>
          </w:tcPr>
          <w:p>
            <w:r>
              <w:rPr>
                <w:rFonts w:ascii="Calibri" w:hAnsi="Calibri"/>
                <w:sz w:val="22"/>
              </w:rPr>
              <w:t>FY consensus $937M vs. &gt;$900M guide</w:t>
            </w:r>
          </w:p>
        </w:tc>
      </w:tr>
    </w:tbl>
    <w:p>
      <w:r>
        <w:rPr>
          <w:rFonts w:ascii="Calibri" w:hAnsi="Calibri"/>
          <w:i/>
          <w:color w:val="525866"/>
          <w:sz w:val="22"/>
        </w:rPr>
        <w:t>Source: Visible Alpha Consensus and Actuals Data. All consensus figures as of August 3, 2026. Q1 2026 actuals from Ball Q1 2026 Earnings Release (May 5, 2026). FY2026 consensus revenue: $14.42B; FY2026 consensus operating EPS: $3.97; FY2026 consensus operating EBITDA: $2.15B; FY2026 consensus FCF: $937M.</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$0.94</w:t>
            </w:r>
          </w:p>
        </w:tc>
        <w:tc>
          <w:tcPr>
            <w:tcW w:type="dxa" w:w="1728"/>
          </w:tcPr>
          <w:p>
            <w:r>
              <w:rPr>
                <w:rFonts w:ascii="Calibri" w:hAnsi="Calibri"/>
                <w:sz w:val="22"/>
              </w:rPr>
              <w:t>$0.83</w:t>
            </w:r>
          </w:p>
        </w:tc>
        <w:tc>
          <w:tcPr>
            <w:tcW w:type="dxa" w:w="1728"/>
          </w:tcPr>
          <w:p>
            <w:r>
              <w:rPr>
                <w:rFonts w:ascii="Calibri" w:hAnsi="Calibri"/>
                <w:b/>
                <w:color w:val="30A46C"/>
                <w:sz w:val="22"/>
              </w:rPr>
              <w:t>+13.3%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$0.91</w:t>
            </w:r>
          </w:p>
        </w:tc>
        <w:tc>
          <w:tcPr>
            <w:tcW w:type="dxa" w:w="1728"/>
          </w:tcPr>
          <w:p>
            <w:r>
              <w:rPr>
                <w:rFonts w:ascii="Calibri" w:hAnsi="Calibri"/>
                <w:sz w:val="22"/>
              </w:rPr>
              <w:t>$0.89</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$1.03</w:t>
            </w:r>
          </w:p>
        </w:tc>
        <w:tc>
          <w:tcPr>
            <w:tcW w:type="dxa" w:w="1728"/>
          </w:tcPr>
          <w:p>
            <w:r>
              <w:rPr>
                <w:rFonts w:ascii="Calibri" w:hAnsi="Calibri"/>
                <w:sz w:val="22"/>
              </w:rPr>
              <w:t>$1.01</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$0.90</w:t>
            </w:r>
          </w:p>
        </w:tc>
        <w:tc>
          <w:tcPr>
            <w:tcW w:type="dxa" w:w="1728"/>
          </w:tcPr>
          <w:p>
            <w:r>
              <w:rPr>
                <w:rFonts w:ascii="Calibri" w:hAnsi="Calibri"/>
                <w:sz w:val="22"/>
              </w:rPr>
              <w:t>$0.86</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$0.77</w:t>
            </w:r>
          </w:p>
        </w:tc>
        <w:tc>
          <w:tcPr>
            <w:tcW w:type="dxa" w:w="1728"/>
          </w:tcPr>
          <w:p>
            <w:r>
              <w:rPr>
                <w:rFonts w:ascii="Calibri" w:hAnsi="Calibri"/>
                <w:sz w:val="22"/>
              </w:rPr>
              <w:t>$0.69</w:t>
            </w:r>
          </w:p>
        </w:tc>
        <w:tc>
          <w:tcPr>
            <w:tcW w:type="dxa" w:w="1728"/>
          </w:tcPr>
          <w:p>
            <w:r>
              <w:rPr>
                <w:rFonts w:ascii="Calibri" w:hAnsi="Calibri"/>
                <w:b/>
                <w:color w:val="30A46C"/>
                <w:sz w:val="22"/>
              </w:rPr>
              <w:t>+11.6%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$0.84</w:t>
            </w:r>
          </w:p>
        </w:tc>
        <w:tc>
          <w:tcPr>
            <w:tcW w:type="dxa" w:w="1728"/>
          </w:tcPr>
          <w:p>
            <w:r>
              <w:rPr>
                <w:rFonts w:ascii="Calibri" w:hAnsi="Calibri"/>
                <w:sz w:val="22"/>
              </w:rPr>
              <w:t>$0.78</w:t>
            </w:r>
          </w:p>
        </w:tc>
        <w:tc>
          <w:tcPr>
            <w:tcW w:type="dxa" w:w="1728"/>
          </w:tcPr>
          <w:p>
            <w:r>
              <w:rPr>
                <w:rFonts w:ascii="Calibri" w:hAnsi="Calibri"/>
                <w:b/>
                <w:color w:val="30A46C"/>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$0.91</w:t>
            </w:r>
          </w:p>
        </w:tc>
        <w:tc>
          <w:tcPr>
            <w:tcW w:type="dxa" w:w="1728"/>
          </w:tcPr>
          <w:p>
            <w:r>
              <w:rPr>
                <w:rFonts w:ascii="Calibri" w:hAnsi="Calibri"/>
                <w:sz w:val="22"/>
              </w:rPr>
              <w:t>$0.85</w:t>
            </w:r>
          </w:p>
        </w:tc>
        <w:tc>
          <w:tcPr>
            <w:tcW w:type="dxa" w:w="1728"/>
          </w:tcPr>
          <w:p>
            <w:r>
              <w:rPr>
                <w:rFonts w:ascii="Calibri" w:hAnsi="Calibri"/>
                <w:b/>
                <w:color w:val="30A46C"/>
                <w:sz w:val="22"/>
              </w:rPr>
              <w:t>+7.1%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pre-VA coverage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$3.603B</w:t>
            </w:r>
          </w:p>
        </w:tc>
        <w:tc>
          <w:tcPr>
            <w:tcW w:type="dxa" w:w="1728"/>
          </w:tcPr>
          <w:p>
            <w:r>
              <w:rPr>
                <w:rFonts w:ascii="Calibri" w:hAnsi="Calibri"/>
                <w:sz w:val="22"/>
              </w:rPr>
              <w:t>$3.332B</w:t>
            </w:r>
          </w:p>
        </w:tc>
        <w:tc>
          <w:tcPr>
            <w:tcW w:type="dxa" w:w="1728"/>
          </w:tcPr>
          <w:p>
            <w:r>
              <w:rPr>
                <w:rFonts w:ascii="Calibri" w:hAnsi="Calibri"/>
                <w:b/>
                <w:color w:val="30A46C"/>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$3.347B</w:t>
            </w:r>
          </w:p>
        </w:tc>
        <w:tc>
          <w:tcPr>
            <w:tcW w:type="dxa" w:w="1728"/>
          </w:tcPr>
          <w:p>
            <w:r>
              <w:rPr>
                <w:rFonts w:ascii="Calibri" w:hAnsi="Calibri"/>
                <w:sz w:val="22"/>
              </w:rPr>
              <w:t>$3.142B</w:t>
            </w:r>
          </w:p>
        </w:tc>
        <w:tc>
          <w:tcPr>
            <w:tcW w:type="dxa" w:w="1728"/>
          </w:tcPr>
          <w:p>
            <w:r>
              <w:rPr>
                <w:rFonts w:ascii="Calibri" w:hAnsi="Calibri"/>
                <w:b/>
                <w:color w:val="30A46C"/>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$3.379B</w:t>
            </w:r>
          </w:p>
        </w:tc>
        <w:tc>
          <w:tcPr>
            <w:tcW w:type="dxa" w:w="1728"/>
          </w:tcPr>
          <w:p>
            <w:r>
              <w:rPr>
                <w:rFonts w:ascii="Calibri" w:hAnsi="Calibri"/>
                <w:sz w:val="22"/>
              </w:rPr>
              <w:t>$3.336B</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$3.338B</w:t>
            </w:r>
          </w:p>
        </w:tc>
        <w:tc>
          <w:tcPr>
            <w:tcW w:type="dxa" w:w="1728"/>
          </w:tcPr>
          <w:p>
            <w:r>
              <w:rPr>
                <w:rFonts w:ascii="Calibri" w:hAnsi="Calibri"/>
                <w:sz w:val="22"/>
              </w:rPr>
              <w:t>$3.119B</w:t>
            </w:r>
          </w:p>
        </w:tc>
        <w:tc>
          <w:tcPr>
            <w:tcW w:type="dxa" w:w="1728"/>
          </w:tcPr>
          <w:p>
            <w:r>
              <w:rPr>
                <w:rFonts w:ascii="Calibri" w:hAnsi="Calibri"/>
                <w:b/>
                <w:color w:val="30A46C"/>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$3.097B</w:t>
            </w:r>
          </w:p>
        </w:tc>
        <w:tc>
          <w:tcPr>
            <w:tcW w:type="dxa" w:w="1728"/>
          </w:tcPr>
          <w:p>
            <w:r>
              <w:rPr>
                <w:rFonts w:ascii="Calibri" w:hAnsi="Calibri"/>
                <w:sz w:val="22"/>
              </w:rPr>
              <w:t>$2.904B</w:t>
            </w:r>
          </w:p>
        </w:tc>
        <w:tc>
          <w:tcPr>
            <w:tcW w:type="dxa" w:w="1728"/>
          </w:tcPr>
          <w:p>
            <w:r>
              <w:rPr>
                <w:rFonts w:ascii="Calibri" w:hAnsi="Calibri"/>
                <w:b/>
                <w:color w:val="30A46C"/>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$2.880B</w:t>
            </w:r>
          </w:p>
        </w:tc>
        <w:tc>
          <w:tcPr>
            <w:tcW w:type="dxa" w:w="1728"/>
          </w:tcPr>
          <w:p>
            <w:r>
              <w:rPr>
                <w:rFonts w:ascii="Calibri" w:hAnsi="Calibri"/>
                <w:sz w:val="22"/>
              </w:rPr>
              <w:t>$2.935B</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$3.082B</w:t>
            </w:r>
          </w:p>
        </w:tc>
        <w:tc>
          <w:tcPr>
            <w:tcW w:type="dxa" w:w="1728"/>
          </w:tcPr>
          <w:p>
            <w:r>
              <w:rPr>
                <w:rFonts w:ascii="Calibri" w:hAnsi="Calibri"/>
                <w:sz w:val="22"/>
              </w:rPr>
              <w:t>$3.166B</w:t>
            </w:r>
          </w:p>
        </w:tc>
        <w:tc>
          <w:tcPr>
            <w:tcW w:type="dxa" w:w="1728"/>
          </w:tcPr>
          <w:p>
            <w:r>
              <w:rPr>
                <w:rFonts w:ascii="Calibri" w:hAnsi="Calibri"/>
                <w:b/>
                <w:color w:val="E5484D"/>
                <w:sz w:val="22"/>
              </w:rPr>
              <w:t>−2.7%</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pre-VA coverage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BALL has beaten operating EPS consensus in every quarter with available data (7 of 7), with the largest beat in Q1 2026 (+13.3%) driven by operating leverage exceeding the 2x target. Revenue beats have been consistent since Q1 2025 after two misses in Q3–Q4 2024 when aluminum pass-through pricing lagged. The consistent EPS beat pattern suggests the Street has historically under-modeled Ball's cost discipline and operating leverage.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May 5 Q1 earnings call — 10%-plus EPS growth and &gt;$900M FCF reaffirmed at the June 10 Wells Fargo conference — but management's tone has grown more specific and confident, with CEO Lewis providing explicit Q2 volume guidance (mid-single digits) and confirming South America's sharp recovery.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Comparable Diluted EPS Growth</w:t>
            </w:r>
          </w:p>
        </w:tc>
        <w:tc>
          <w:tcPr>
            <w:tcW w:type="dxa" w:w="1728"/>
          </w:tcPr>
          <w:p>
            <w:r>
              <w:rPr>
                <w:rFonts w:ascii="Calibri" w:hAnsi="Calibri"/>
                <w:sz w:val="22"/>
              </w:rPr>
              <w:t>10%+ year-over-year</w:t>
            </w:r>
          </w:p>
        </w:tc>
        <w:tc>
          <w:tcPr>
            <w:tcW w:type="dxa" w:w="1728"/>
          </w:tcPr>
          <w:p>
            <w:r>
              <w:rPr>
                <w:rFonts w:ascii="Calibri" w:hAnsi="Calibri"/>
                <w:sz w:val="22"/>
              </w:rPr>
              <w:t>—</w:t>
            </w:r>
          </w:p>
        </w:tc>
        <w:tc>
          <w:tcPr>
            <w:tcW w:type="dxa" w:w="1728"/>
          </w:tcPr>
          <w:p>
            <w:r>
              <w:rPr>
                <w:rFonts w:ascii="Calibri" w:hAnsi="Calibri"/>
                <w:sz w:val="22"/>
              </w:rPr>
              <w:t>$3.97 (implies ~10% growth)</w:t>
            </w:r>
          </w:p>
        </w:tc>
        <w:tc>
          <w:tcPr>
            <w:tcW w:type="dxa" w:w="1728"/>
          </w:tcPr>
          <w:p>
            <w:r>
              <w:rPr>
                <w:rFonts w:ascii="Calibri" w:hAnsi="Calibri"/>
                <w:sz w:val="22"/>
              </w:rPr>
              <w:t>Reaffirmed at Wells Fargo conference June 10, 2026; tone confident</w:t>
            </w:r>
          </w:p>
        </w:tc>
      </w:tr>
      <w:tr>
        <w:tc>
          <w:tcPr>
            <w:tcW w:type="dxa" w:w="1728"/>
          </w:tcPr>
          <w:p>
            <w:r>
              <w:rPr>
                <w:rFonts w:ascii="Calibri" w:hAnsi="Calibri"/>
                <w:sz w:val="22"/>
              </w:rPr>
              <w:t>FY2026 Free Cash Flow</w:t>
            </w:r>
          </w:p>
        </w:tc>
        <w:tc>
          <w:tcPr>
            <w:tcW w:type="dxa" w:w="1728"/>
          </w:tcPr>
          <w:p>
            <w:r>
              <w:rPr>
                <w:rFonts w:ascii="Calibri" w:hAnsi="Calibri"/>
                <w:sz w:val="22"/>
              </w:rPr>
              <w:t>&gt;$900M</w:t>
            </w:r>
          </w:p>
        </w:tc>
        <w:tc>
          <w:tcPr>
            <w:tcW w:type="dxa" w:w="1728"/>
          </w:tcPr>
          <w:p>
            <w:r>
              <w:rPr>
                <w:rFonts w:ascii="Calibri" w:hAnsi="Calibri"/>
                <w:sz w:val="22"/>
              </w:rPr>
              <w:t>—</w:t>
            </w:r>
          </w:p>
        </w:tc>
        <w:tc>
          <w:tcPr>
            <w:tcW w:type="dxa" w:w="1728"/>
          </w:tcPr>
          <w:p>
            <w:r>
              <w:rPr>
                <w:rFonts w:ascii="Calibri" w:hAnsi="Calibri"/>
                <w:sz w:val="22"/>
              </w:rPr>
              <w:t>$937M consensus</w:t>
            </w:r>
          </w:p>
        </w:tc>
        <w:tc>
          <w:tcPr>
            <w:tcW w:type="dxa" w:w="1728"/>
          </w:tcPr>
          <w:p>
            <w:r>
              <w:rPr>
                <w:rFonts w:ascii="Calibri" w:hAnsi="Calibri"/>
                <w:sz w:val="22"/>
              </w:rPr>
              <w:t>Reaffirmed June 10; "right on track"</w:t>
            </w:r>
          </w:p>
        </w:tc>
      </w:tr>
      <w:tr>
        <w:tc>
          <w:tcPr>
            <w:tcW w:type="dxa" w:w="1728"/>
          </w:tcPr>
          <w:p>
            <w:r>
              <w:rPr>
                <w:rFonts w:ascii="Calibri" w:hAnsi="Calibri"/>
                <w:sz w:val="22"/>
              </w:rPr>
              <w:t>FY2026 Enterprise Volume Growth</w:t>
            </w:r>
          </w:p>
        </w:tc>
        <w:tc>
          <w:tcPr>
            <w:tcW w:type="dxa" w:w="1728"/>
          </w:tcPr>
          <w:p>
            <w:r>
              <w:rPr>
                <w:rFonts w:ascii="Calibri" w:hAnsi="Calibri"/>
                <w:sz w:val="22"/>
              </w:rPr>
              <w:t>Towards top end of 2%–3% range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Reaffirmed June 10; Q2 guided to mid-single digits</w:t>
            </w:r>
          </w:p>
        </w:tc>
      </w:tr>
      <w:tr>
        <w:tc>
          <w:tcPr>
            <w:tcW w:type="dxa" w:w="1728"/>
          </w:tcPr>
          <w:p>
            <w:r>
              <w:rPr>
                <w:rFonts w:ascii="Calibri" w:hAnsi="Calibri"/>
                <w:sz w:val="22"/>
              </w:rPr>
              <w:t>FY2026 Interest Expense</w:t>
            </w:r>
          </w:p>
        </w:tc>
        <w:tc>
          <w:tcPr>
            <w:tcW w:type="dxa" w:w="1728"/>
          </w:tcPr>
          <w:p>
            <w:r>
              <w:rPr>
                <w:rFonts w:ascii="Calibri" w:hAnsi="Calibri"/>
                <w:sz w:val="22"/>
              </w:rPr>
              <w:t>~$320M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no post-earnings update</w:t>
            </w:r>
          </w:p>
        </w:tc>
      </w:tr>
      <w:tr>
        <w:tc>
          <w:tcPr>
            <w:tcW w:type="dxa" w:w="1728"/>
          </w:tcPr>
          <w:p>
            <w:r>
              <w:rPr>
                <w:rFonts w:ascii="Calibri" w:hAnsi="Calibri"/>
                <w:sz w:val="22"/>
              </w:rPr>
              <w:t>FY2026 Effective Tax Rate (Comparable)</w:t>
            </w:r>
          </w:p>
        </w:tc>
        <w:tc>
          <w:tcPr>
            <w:tcW w:type="dxa" w:w="1728"/>
          </w:tcPr>
          <w:p>
            <w:r>
              <w:rPr>
                <w:rFonts w:ascii="Calibri" w:hAnsi="Calibri"/>
                <w:sz w:val="22"/>
              </w:rPr>
              <w:t>Slightly above 23%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FY2026 CapEx</w:t>
            </w:r>
          </w:p>
        </w:tc>
        <w:tc>
          <w:tcPr>
            <w:tcW w:type="dxa" w:w="1728"/>
          </w:tcPr>
          <w:p>
            <w:r>
              <w:rPr>
                <w:rFonts w:ascii="Calibri" w:hAnsi="Calibri"/>
                <w:sz w:val="22"/>
              </w:rPr>
              <w:t>In line with GAAP D&amp;A (~$600M)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at June 10 conference ($600M budget, ~$657M D&amp;A)</w:t>
            </w:r>
          </w:p>
        </w:tc>
      </w:tr>
      <w:tr>
        <w:tc>
          <w:tcPr>
            <w:tcW w:type="dxa" w:w="1728"/>
          </w:tcPr>
          <w:p>
            <w:r>
              <w:rPr>
                <w:rFonts w:ascii="Calibri" w:hAnsi="Calibri"/>
                <w:sz w:val="22"/>
              </w:rPr>
              <w:t>Year-End Net Debt / EBITDA</w:t>
            </w:r>
          </w:p>
        </w:tc>
        <w:tc>
          <w:tcPr>
            <w:tcW w:type="dxa" w:w="1728"/>
          </w:tcPr>
          <w:p>
            <w:r>
              <w:rPr>
                <w:rFonts w:ascii="Calibri" w:hAnsi="Calibri"/>
                <w:sz w:val="22"/>
              </w:rPr>
              <w:t>~2.7x (from 2.8x at YE2025)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June 10; path to 2.5x</w:t>
            </w:r>
          </w:p>
        </w:tc>
      </w:tr>
      <w:tr>
        <w:tc>
          <w:tcPr>
            <w:tcW w:type="dxa" w:w="1728"/>
          </w:tcPr>
          <w:p>
            <w:r>
              <w:rPr>
                <w:rFonts w:ascii="Calibri" w:hAnsi="Calibri"/>
                <w:sz w:val="22"/>
              </w:rPr>
              <w:t>Shareholder Returns</w:t>
            </w:r>
          </w:p>
        </w:tc>
        <w:tc>
          <w:tcPr>
            <w:tcW w:type="dxa" w:w="1728"/>
          </w:tcPr>
          <w:p>
            <w:r>
              <w:rPr>
                <w:rFonts w:ascii="Calibri" w:hAnsi="Calibri"/>
                <w:sz w:val="22"/>
              </w:rPr>
              <w:t>≥$800M (buybacks + dividends)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≥$600M in buybacks</w:t>
            </w:r>
          </w:p>
        </w:tc>
      </w:tr>
      <w:tr>
        <w:tc>
          <w:tcPr>
            <w:tcW w:type="dxa" w:w="1728"/>
          </w:tcPr>
          <w:p>
            <w:r>
              <w:rPr>
                <w:rFonts w:ascii="Calibri" w:hAnsi="Calibri"/>
                <w:sz w:val="22"/>
              </w:rPr>
              <w:t>Start-up / Domestication Costs</w:t>
            </w:r>
          </w:p>
        </w:tc>
        <w:tc>
          <w:tcPr>
            <w:tcW w:type="dxa" w:w="1728"/>
          </w:tcPr>
          <w:p>
            <w:r>
              <w:rPr>
                <w:rFonts w:ascii="Calibri" w:hAnsi="Calibri"/>
                <w:sz w:val="22"/>
              </w:rPr>
              <w:t>$35M (Millersburg + NS ends); Q2 start, heavy Q3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Q2/Q3 headwind; timing risk for Q2 beat</w:t>
            </w:r>
          </w:p>
        </w:tc>
      </w:tr>
    </w:tbl>
    <w:p>
      <w:r>
        <w:rPr>
          <w:rFonts w:ascii="Calibri" w:hAnsi="Calibri"/>
          <w:i/>
          <w:color w:val="525866"/>
          <w:sz w:val="22"/>
        </w:rPr>
        <w:t>Sources: Ball Q1 2026 Earnings Call Transcript (May 5, 2026); Ball Q1 2026 Earnings Release (May 5, 2026); Wells Fargo Industrials &amp; Materials Conference Transcript (June 10,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risen ~1.3% since the Q1 print baseline, tracking management's reaffirmed guidance; FY2026 estimates are essentially flat, suggesting the Street is not pricing in upside beyond the stated algorithm. The gap between consensus FCF ($937M) and guidance (&gt;$900M) is thin, leaving little cushion if working capital or CapEx timing slips.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(as of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$3.644B</w:t>
            </w:r>
          </w:p>
        </w:tc>
        <w:tc>
          <w:tcPr>
            <w:tcW w:type="dxa" w:w="1080"/>
          </w:tcPr>
          <w:p>
            <w:r>
              <w:rPr>
                <w:rFonts w:ascii="Calibri" w:hAnsi="Calibri"/>
                <w:sz w:val="22"/>
              </w:rPr>
              <w:t>$3.642B</w:t>
            </w:r>
          </w:p>
        </w:tc>
        <w:tc>
          <w:tcPr>
            <w:tcW w:type="dxa" w:w="1080"/>
          </w:tcPr>
          <w:p>
            <w:r>
              <w:rPr>
                <w:rFonts w:ascii="Calibri" w:hAnsi="Calibri"/>
                <w:sz w:val="22"/>
              </w:rPr>
              <w:t>−0.1%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(Q2 2026)</w:t>
            </w:r>
          </w:p>
        </w:tc>
        <w:tc>
          <w:tcPr>
            <w:tcW w:type="dxa" w:w="1080"/>
          </w:tcPr>
          <w:p>
            <w:r>
              <w:rPr>
                <w:rFonts w:ascii="Calibri" w:hAnsi="Calibri"/>
                <w:sz w:val="22"/>
              </w:rPr>
              <w:t>$0.958</w:t>
            </w:r>
          </w:p>
        </w:tc>
        <w:tc>
          <w:tcPr>
            <w:tcW w:type="dxa" w:w="1080"/>
          </w:tcPr>
          <w:p>
            <w:r>
              <w:rPr>
                <w:rFonts w:ascii="Calibri" w:hAnsi="Calibri"/>
                <w:sz w:val="22"/>
              </w:rPr>
              <w:t>$0.971</w:t>
            </w:r>
          </w:p>
        </w:tc>
        <w:tc>
          <w:tcPr>
            <w:tcW w:type="dxa" w:w="1080"/>
          </w:tcPr>
          <w:p>
            <w:r>
              <w:rPr>
                <w:rFonts w:ascii="Calibri" w:hAnsi="Calibri"/>
                <w:b/>
                <w:color w:val="30A46C"/>
                <w:sz w:val="22"/>
              </w:rPr>
              <w:t>+1.3%</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(Q2 2026)</w:t>
            </w:r>
          </w:p>
        </w:tc>
        <w:tc>
          <w:tcPr>
            <w:tcW w:type="dxa" w:w="1080"/>
          </w:tcPr>
          <w:p>
            <w:r>
              <w:rPr>
                <w:rFonts w:ascii="Calibri" w:hAnsi="Calibri"/>
                <w:sz w:val="22"/>
              </w:rPr>
              <w:t>$532M</w:t>
            </w:r>
          </w:p>
        </w:tc>
        <w:tc>
          <w:tcPr>
            <w:tcW w:type="dxa" w:w="1080"/>
          </w:tcPr>
          <w:p>
            <w:r>
              <w:rPr>
                <w:rFonts w:ascii="Calibri" w:hAnsi="Calibri"/>
                <w:sz w:val="22"/>
              </w:rPr>
              <w:t>$536M</w:t>
            </w:r>
          </w:p>
        </w:tc>
        <w:tc>
          <w:tcPr>
            <w:tcW w:type="dxa" w:w="1080"/>
          </w:tcPr>
          <w:p>
            <w:r>
              <w:rPr>
                <w:rFonts w:ascii="Calibri" w:hAnsi="Calibri"/>
                <w:b/>
                <w:color w:val="30A46C"/>
                <w:sz w:val="22"/>
              </w:rPr>
              <w:t>+0.7%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(Q2 2026)</w:t>
            </w:r>
          </w:p>
        </w:tc>
        <w:tc>
          <w:tcPr>
            <w:tcW w:type="dxa" w:w="1080"/>
          </w:tcPr>
          <w:p>
            <w:r>
              <w:rPr>
                <w:rFonts w:ascii="Calibri" w:hAnsi="Calibri"/>
                <w:sz w:val="22"/>
              </w:rPr>
              <w:t>$586M</w:t>
            </w:r>
          </w:p>
        </w:tc>
        <w:tc>
          <w:tcPr>
            <w:tcW w:type="dxa" w:w="1080"/>
          </w:tcPr>
          <w:p>
            <w:r>
              <w:rPr>
                <w:rFonts w:ascii="Calibri" w:hAnsi="Calibri"/>
                <w:sz w:val="22"/>
              </w:rPr>
              <w:t>$621M</w:t>
            </w:r>
          </w:p>
        </w:tc>
        <w:tc>
          <w:tcPr>
            <w:tcW w:type="dxa" w:w="1080"/>
          </w:tcPr>
          <w:p>
            <w:r>
              <w:rPr>
                <w:rFonts w:ascii="Calibri" w:hAnsi="Calibri"/>
                <w:b/>
                <w:color w:val="30A46C"/>
                <w:sz w:val="22"/>
              </w:rPr>
              <w:t>+6.0%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(FY2026)</w:t>
            </w:r>
          </w:p>
        </w:tc>
        <w:tc>
          <w:tcPr>
            <w:tcW w:type="dxa" w:w="1080"/>
          </w:tcPr>
          <w:p>
            <w:r>
              <w:rPr>
                <w:rFonts w:ascii="Calibri" w:hAnsi="Calibri"/>
                <w:sz w:val="22"/>
              </w:rPr>
              <w:t>$14.434B</w:t>
            </w:r>
          </w:p>
        </w:tc>
        <w:tc>
          <w:tcPr>
            <w:tcW w:type="dxa" w:w="1080"/>
          </w:tcPr>
          <w:p>
            <w:r>
              <w:rPr>
                <w:rFonts w:ascii="Calibri" w:hAnsi="Calibri"/>
                <w:sz w:val="22"/>
              </w:rPr>
              <w:t>$14.420B</w:t>
            </w:r>
          </w:p>
        </w:tc>
        <w:tc>
          <w:tcPr>
            <w:tcW w:type="dxa" w:w="1080"/>
          </w:tcPr>
          <w:p>
            <w:r>
              <w:rPr>
                <w:rFonts w:ascii="Calibri" w:hAnsi="Calibri"/>
                <w:sz w:val="22"/>
              </w:rPr>
              <w:t>−0.1%</w:t>
            </w:r>
          </w:p>
        </w:tc>
        <w:tc>
          <w:tcPr>
            <w:tcW w:type="dxa" w:w="1080"/>
          </w:tcPr>
          <w:p>
            <w:r>
              <w:rPr>
                <w:rFonts w:ascii="Calibri" w:hAnsi="Calibri"/>
                <w:sz w:val="22"/>
              </w:rPr>
              <w:t>No explicit FY revenue guidance</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(FY2026)</w:t>
            </w:r>
          </w:p>
        </w:tc>
        <w:tc>
          <w:tcPr>
            <w:tcW w:type="dxa" w:w="1080"/>
          </w:tcPr>
          <w:p>
            <w:r>
              <w:rPr>
                <w:rFonts w:ascii="Calibri" w:hAnsi="Calibri"/>
                <w:sz w:val="22"/>
              </w:rPr>
              <w:t>$3.953</w:t>
            </w:r>
          </w:p>
        </w:tc>
        <w:tc>
          <w:tcPr>
            <w:tcW w:type="dxa" w:w="1080"/>
          </w:tcPr>
          <w:p>
            <w:r>
              <w:rPr>
                <w:rFonts w:ascii="Calibri" w:hAnsi="Calibri"/>
                <w:sz w:val="22"/>
              </w:rPr>
              <w:t>$3.967</w:t>
            </w:r>
          </w:p>
        </w:tc>
        <w:tc>
          <w:tcPr>
            <w:tcW w:type="dxa" w:w="1080"/>
          </w:tcPr>
          <w:p>
            <w:r>
              <w:rPr>
                <w:rFonts w:ascii="Calibri" w:hAnsi="Calibri"/>
                <w:b/>
                <w:color w:val="30A46C"/>
                <w:sz w:val="22"/>
              </w:rPr>
              <w:t>+0.4%</w:t>
            </w:r>
          </w:p>
        </w:tc>
        <w:tc>
          <w:tcPr>
            <w:tcW w:type="dxa" w:w="1080"/>
          </w:tcPr>
          <w:p>
            <w:r>
              <w:rPr>
                <w:rFonts w:ascii="Calibri" w:hAnsi="Calibri"/>
                <w:sz w:val="22"/>
              </w:rPr>
              <w:t>10%+ growth (implies ~$3.90+)</w:t>
            </w:r>
          </w:p>
        </w:tc>
        <w:tc>
          <w:tcPr>
            <w:tcW w:type="dxa" w:w="1080"/>
          </w:tcPr>
          <w:p>
            <w:r>
              <w:rPr>
                <w:rFonts w:ascii="Calibri" w:hAnsi="Calibri"/>
                <w:sz w:val="22"/>
              </w:rPr>
              <w:t>10%+ growth (unchanged)</w:t>
            </w:r>
          </w:p>
        </w:tc>
        <w:tc>
          <w:tcPr>
            <w:tcW w:type="dxa" w:w="1080"/>
          </w:tcPr>
          <w:p>
            <w:r>
              <w:rPr>
                <w:rFonts w:ascii="Calibri" w:hAnsi="Calibri"/>
                <w:sz w:val="22"/>
              </w:rPr>
              <w:t>Unchanged</w:t>
            </w:r>
          </w:p>
        </w:tc>
        <w:tc>
          <w:tcPr>
            <w:tcW w:type="dxa" w:w="1080"/>
          </w:tcPr>
          <w:p>
            <w:r>
              <w:rPr>
                <w:rFonts w:ascii="Calibri" w:hAnsi="Calibri"/>
                <w:sz w:val="22"/>
              </w:rPr>
              <w:t>~+2% above floor</w:t>
            </w:r>
          </w:p>
        </w:tc>
      </w:tr>
      <w:tr>
        <w:tc>
          <w:tcPr>
            <w:tcW w:type="dxa" w:w="1080"/>
          </w:tcPr>
          <w:p>
            <w:r>
              <w:rPr>
                <w:rFonts w:ascii="Calibri" w:hAnsi="Calibri"/>
                <w:sz w:val="22"/>
              </w:rPr>
              <w:t>Operating EBITDA (FY2026)</w:t>
            </w:r>
          </w:p>
        </w:tc>
        <w:tc>
          <w:tcPr>
            <w:tcW w:type="dxa" w:w="1080"/>
          </w:tcPr>
          <w:p>
            <w:r>
              <w:rPr>
                <w:rFonts w:ascii="Calibri" w:hAnsi="Calibri"/>
                <w:sz w:val="22"/>
              </w:rPr>
              <w:t>$2.148B</w:t>
            </w:r>
          </w:p>
        </w:tc>
        <w:tc>
          <w:tcPr>
            <w:tcW w:type="dxa" w:w="1080"/>
          </w:tcPr>
          <w:p>
            <w:r>
              <w:rPr>
                <w:rFonts w:ascii="Calibri" w:hAnsi="Calibri"/>
                <w:sz w:val="22"/>
              </w:rPr>
              <w:t>$2.152B</w:t>
            </w:r>
          </w:p>
        </w:tc>
        <w:tc>
          <w:tcPr>
            <w:tcW w:type="dxa" w:w="1080"/>
          </w:tcPr>
          <w:p>
            <w:r>
              <w:rPr>
                <w:rFonts w:ascii="Calibri" w:hAnsi="Calibri"/>
                <w:sz w:val="22"/>
              </w:rPr>
              <w:t>+0.2%</w:t>
            </w:r>
          </w:p>
        </w:tc>
        <w:tc>
          <w:tcPr>
            <w:tcW w:type="dxa" w:w="1080"/>
          </w:tcPr>
          <w:p>
            <w:r>
              <w:rPr>
                <w:rFonts w:ascii="Calibri" w:hAnsi="Calibri"/>
                <w:sz w:val="22"/>
              </w:rPr>
              <w:t>No explicit EBITDA guidance</w:t>
            </w:r>
          </w:p>
        </w:tc>
        <w:tc>
          <w:tcPr>
            <w:tcW w:type="dxa" w:w="1080"/>
          </w:tcPr>
          <w:p>
            <w:r>
              <w:rPr>
                <w:rFonts w:ascii="Calibri" w:hAnsi="Calibri"/>
                <w:sz w:val="22"/>
              </w:rPr>
              <w:t>No explicit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(FY2026)</w:t>
            </w:r>
          </w:p>
        </w:tc>
        <w:tc>
          <w:tcPr>
            <w:tcW w:type="dxa" w:w="1080"/>
          </w:tcPr>
          <w:p>
            <w:r>
              <w:rPr>
                <w:rFonts w:ascii="Calibri" w:hAnsi="Calibri"/>
                <w:sz w:val="22"/>
              </w:rPr>
              <w:t>$958M</w:t>
            </w:r>
          </w:p>
        </w:tc>
        <w:tc>
          <w:tcPr>
            <w:tcW w:type="dxa" w:w="1080"/>
          </w:tcPr>
          <w:p>
            <w:r>
              <w:rPr>
                <w:rFonts w:ascii="Calibri" w:hAnsi="Calibri"/>
                <w:sz w:val="22"/>
              </w:rPr>
              <w:t>$937M</w:t>
            </w:r>
          </w:p>
        </w:tc>
        <w:tc>
          <w:tcPr>
            <w:tcW w:type="dxa" w:w="1080"/>
          </w:tcPr>
          <w:p>
            <w:r>
              <w:rPr>
                <w:rFonts w:ascii="Calibri" w:hAnsi="Calibri"/>
                <w:b/>
                <w:color w:val="E5484D"/>
                <w:sz w:val="22"/>
              </w:rPr>
              <w:t>−2.2%</w:t>
            </w:r>
          </w:p>
        </w:tc>
        <w:tc>
          <w:tcPr>
            <w:tcW w:type="dxa" w:w="1080"/>
          </w:tcPr>
          <w:p>
            <w:r>
              <w:rPr>
                <w:rFonts w:ascii="Calibri" w:hAnsi="Calibri"/>
                <w:sz w:val="22"/>
              </w:rPr>
              <w:t>&gt;$900M</w:t>
            </w:r>
          </w:p>
        </w:tc>
        <w:tc>
          <w:tcPr>
            <w:tcW w:type="dxa" w:w="1080"/>
          </w:tcPr>
          <w:p>
            <w:r>
              <w:rPr>
                <w:rFonts w:ascii="Calibri" w:hAnsi="Calibri"/>
                <w:sz w:val="22"/>
              </w:rPr>
              <w:t>&gt;$900M (unchanged)</w:t>
            </w:r>
          </w:p>
        </w:tc>
        <w:tc>
          <w:tcPr>
            <w:tcW w:type="dxa" w:w="1080"/>
          </w:tcPr>
          <w:p>
            <w:r>
              <w:rPr>
                <w:rFonts w:ascii="Calibri" w:hAnsi="Calibri"/>
                <w:sz w:val="22"/>
              </w:rPr>
              <w:t>Unchanged</w:t>
            </w:r>
          </w:p>
        </w:tc>
        <w:tc>
          <w:tcPr>
            <w:tcW w:type="dxa" w:w="1080"/>
          </w:tcPr>
          <w:p>
            <w:r>
              <w:rPr>
                <w:rFonts w:ascii="Calibri" w:hAnsi="Calibri"/>
                <w:sz w:val="22"/>
              </w:rPr>
              <w:t>+4.1% above floor</w:t>
            </w:r>
          </w:p>
        </w:tc>
      </w:tr>
    </w:tbl>
    <w:p>
      <w:r>
        <w:rPr>
          <w:rFonts w:ascii="Calibri" w:hAnsi="Calibri"/>
          <w:i/>
          <w:color w:val="525866"/>
          <w:sz w:val="22"/>
        </w:rPr>
        <w:t xml:space="preserve">Source: Visible Alpha Consensus and Actuals Data. Baseline "as of May 12, 2026" represents consensus approximately 5 trading days after the Q1 2026 earnings release (May 5, 2026). </w:t>
      </w:r>
      <w:r>
        <w:rPr>
          <w:rFonts w:ascii="Calibri" w:hAnsi="Calibri"/>
          <w:b/>
          <w:color w:val="525866"/>
          <w:sz w:val="22"/>
        </w:rPr>
        <w:t xml:space="preserve">Note: </w:t>
      </w:r>
      <w:r>
        <w:rPr>
          <w:rFonts w:ascii="Calibri" w:hAnsi="Calibri"/>
          <w:i/>
          <w:color w:val="525866"/>
          <w:sz w:val="22"/>
        </w:rPr>
        <w:t>Estimate revisions since the Q1 print have been minimal and directionally positive — operating EPS for Q2 is up ~1.3% and FY2026 EPS is up ~0.4% — consistent with management's unchanged guidance. The slight decline in FY2026 FCF consensus ($958M → $937M) likely reflects updated CapEx timing assumptions for the Millersburg build-out rather than any fundamental deterioration.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BALL has rallied ~14% since the May 5 Q1 earnings date, significantly outperforming XLP (+1.0%) and the S&amp;P 500 (+4.7%); the outperformance is driven primarily by </w:t>
      </w:r>
      <w:r>
        <w:rPr>
          <w:rFonts w:ascii="Calibri" w:hAnsi="Calibri"/>
          <w:b/>
          <w:color w:val="525866"/>
          <w:sz w:val="22"/>
        </w:rPr>
        <w:t>multiple expansion</w:t>
      </w:r>
      <w:r>
        <w:rPr>
          <w:rFonts w:ascii="Calibri" w:hAnsi="Calibri"/>
          <w:color w:val="525866"/>
          <w:sz w:val="22"/>
        </w:rPr>
        <w:t xml:space="preserve"> (EV/EBITDA expanded from ~10.2x to ~10.9x over 6 months) rather than estimate revisions, which have been nearly flat — suggesting the stock is pricing in execution confidence rather than a numbers upgrade.</w:t>
      </w:r>
    </w:p>
    <w:p>
      <w:r>
        <w:rPr>
          <w:rFonts w:ascii="Calibri" w:hAnsi="Calibri"/>
          <w:b/>
          <w:i/>
          <w:color w:val="525866"/>
          <w:sz w:val="22"/>
        </w:rPr>
        <w:t>Indexed Performance Since May 5, 2026 (Q1 2026 Earnings Date) — Base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BALL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S&amp;P 500 / SPY (Indexed)</w:t>
            </w:r>
          </w:p>
        </w:tc>
      </w:tr>
      <w:tr>
        <w:tc>
          <w:tcPr>
            <w:tcW w:type="dxa" w:w="2160"/>
          </w:tcPr>
          <w:p>
            <w:r>
              <w:rPr>
                <w:rFonts w:ascii="Calibri" w:hAnsi="Calibri"/>
                <w:sz w:val="22"/>
              </w:rPr>
              <w:t>May 5,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95.7</w:t>
            </w:r>
          </w:p>
        </w:tc>
        <w:tc>
          <w:tcPr>
            <w:tcW w:type="dxa" w:w="2160"/>
          </w:tcPr>
          <w:p>
            <w:r>
              <w:rPr>
                <w:rFonts w:ascii="Calibri" w:hAnsi="Calibri"/>
                <w:sz w:val="22"/>
              </w:rPr>
              <w:t>98.7</w:t>
            </w:r>
          </w:p>
        </w:tc>
        <w:tc>
          <w:tcPr>
            <w:tcW w:type="dxa" w:w="2160"/>
          </w:tcPr>
          <w:p>
            <w:r>
              <w:rPr>
                <w:rFonts w:ascii="Calibri" w:hAnsi="Calibri"/>
                <w:sz w:val="22"/>
              </w:rPr>
              <w:t>104.5</w:t>
            </w:r>
          </w:p>
        </w:tc>
      </w:tr>
      <w:tr>
        <w:tc>
          <w:tcPr>
            <w:tcW w:type="dxa" w:w="2160"/>
          </w:tcPr>
          <w:p>
            <w:r>
              <w:rPr>
                <w:rFonts w:ascii="Calibri" w:hAnsi="Calibri"/>
                <w:sz w:val="22"/>
              </w:rPr>
              <w:t>Jun 10, 2026 (Wells Fargo Conference)</w:t>
            </w:r>
          </w:p>
        </w:tc>
        <w:tc>
          <w:tcPr>
            <w:tcW w:type="dxa" w:w="2160"/>
          </w:tcPr>
          <w:p>
            <w:r>
              <w:rPr>
                <w:rFonts w:ascii="Calibri" w:hAnsi="Calibri"/>
                <w:sz w:val="22"/>
              </w:rPr>
              <w:t>95.8</w:t>
            </w:r>
          </w:p>
        </w:tc>
        <w:tc>
          <w:tcPr>
            <w:tcW w:type="dxa" w:w="2160"/>
          </w:tcPr>
          <w:p>
            <w:r>
              <w:rPr>
                <w:rFonts w:ascii="Calibri" w:hAnsi="Calibri"/>
                <w:sz w:val="22"/>
              </w:rPr>
              <w:t>101.7</w:t>
            </w:r>
          </w:p>
        </w:tc>
        <w:tc>
          <w:tcPr>
            <w:tcW w:type="dxa" w:w="2160"/>
          </w:tcPr>
          <w:p>
            <w:r>
              <w:rPr>
                <w:rFonts w:ascii="Calibri" w:hAnsi="Calibri"/>
                <w:sz w:val="22"/>
              </w:rPr>
              <w:t>100.2</w:t>
            </w:r>
          </w:p>
        </w:tc>
      </w:tr>
      <w:tr>
        <w:tc>
          <w:tcPr>
            <w:tcW w:type="dxa" w:w="2160"/>
          </w:tcPr>
          <w:p>
            <w:r>
              <w:rPr>
                <w:rFonts w:ascii="Calibri" w:hAnsi="Calibri"/>
                <w:sz w:val="22"/>
              </w:rPr>
              <w:t>Jun 30, 2026 (Quarter End)</w:t>
            </w:r>
          </w:p>
        </w:tc>
        <w:tc>
          <w:tcPr>
            <w:tcW w:type="dxa" w:w="2160"/>
          </w:tcPr>
          <w:p>
            <w:r>
              <w:rPr>
                <w:rFonts w:ascii="Calibri" w:hAnsi="Calibri"/>
                <w:sz w:val="22"/>
              </w:rPr>
              <w:t>109.3</w:t>
            </w:r>
          </w:p>
        </w:tc>
        <w:tc>
          <w:tcPr>
            <w:tcW w:type="dxa" w:w="2160"/>
          </w:tcPr>
          <w:p>
            <w:r>
              <w:rPr>
                <w:rFonts w:ascii="Calibri" w:hAnsi="Calibri"/>
                <w:sz w:val="22"/>
              </w:rPr>
              <w:t>98.8</w:t>
            </w:r>
          </w:p>
        </w:tc>
        <w:tc>
          <w:tcPr>
            <w:tcW w:type="dxa" w:w="2160"/>
          </w:tcPr>
          <w:p>
            <w:r>
              <w:rPr>
                <w:rFonts w:ascii="Calibri" w:hAnsi="Calibri"/>
                <w:sz w:val="22"/>
              </w:rPr>
              <w:t>103.2</w:t>
            </w:r>
          </w:p>
        </w:tc>
      </w:tr>
      <w:tr>
        <w:tc>
          <w:tcPr>
            <w:tcW w:type="dxa" w:w="2160"/>
          </w:tcPr>
          <w:p>
            <w:r>
              <w:rPr>
                <w:rFonts w:ascii="Calibri" w:hAnsi="Calibri"/>
                <w:sz w:val="22"/>
              </w:rPr>
              <w:t>Jul 21, 2026 (CCK Earnings)</w:t>
            </w:r>
          </w:p>
        </w:tc>
        <w:tc>
          <w:tcPr>
            <w:tcW w:type="dxa" w:w="2160"/>
          </w:tcPr>
          <w:p>
            <w:r>
              <w:rPr>
                <w:rFonts w:ascii="Calibri" w:hAnsi="Calibri"/>
                <w:sz w:val="22"/>
              </w:rPr>
              <w:t>109.5</w:t>
            </w:r>
          </w:p>
        </w:tc>
        <w:tc>
          <w:tcPr>
            <w:tcW w:type="dxa" w:w="2160"/>
          </w:tcPr>
          <w:p>
            <w:r>
              <w:rPr>
                <w:rFonts w:ascii="Calibri" w:hAnsi="Calibri"/>
                <w:sz w:val="22"/>
              </w:rPr>
              <w:t>100.0</w:t>
            </w:r>
          </w:p>
        </w:tc>
        <w:tc>
          <w:tcPr>
            <w:tcW w:type="dxa" w:w="2160"/>
          </w:tcPr>
          <w:p>
            <w:r>
              <w:rPr>
                <w:rFonts w:ascii="Calibri" w:hAnsi="Calibri"/>
                <w:sz w:val="22"/>
              </w:rPr>
              <w:t>103.4</w:t>
            </w:r>
          </w:p>
        </w:tc>
      </w:tr>
      <w:tr>
        <w:tc>
          <w:tcPr>
            <w:tcW w:type="dxa" w:w="2160"/>
          </w:tcPr>
          <w:p>
            <w:r>
              <w:rPr>
                <w:rFonts w:ascii="Calibri" w:hAnsi="Calibri"/>
                <w:sz w:val="22"/>
              </w:rPr>
              <w:t>Jul 23, 2026 (AMBP Earnings)</w:t>
            </w:r>
          </w:p>
        </w:tc>
        <w:tc>
          <w:tcPr>
            <w:tcW w:type="dxa" w:w="2160"/>
          </w:tcPr>
          <w:p>
            <w:r>
              <w:rPr>
                <w:rFonts w:ascii="Calibri" w:hAnsi="Calibri"/>
                <w:sz w:val="22"/>
              </w:rPr>
              <w:t>109.0</w:t>
            </w:r>
          </w:p>
        </w:tc>
        <w:tc>
          <w:tcPr>
            <w:tcW w:type="dxa" w:w="2160"/>
          </w:tcPr>
          <w:p>
            <w:r>
              <w:rPr>
                <w:rFonts w:ascii="Calibri" w:hAnsi="Calibri"/>
                <w:sz w:val="22"/>
              </w:rPr>
              <w:t>99.0</w:t>
            </w:r>
          </w:p>
        </w:tc>
        <w:tc>
          <w:tcPr>
            <w:tcW w:type="dxa" w:w="2160"/>
          </w:tcPr>
          <w:p>
            <w:r>
              <w:rPr>
                <w:rFonts w:ascii="Calibri" w:hAnsi="Calibri"/>
                <w:sz w:val="22"/>
              </w:rPr>
              <w:t>102.0</w:t>
            </w:r>
          </w:p>
        </w:tc>
      </w:tr>
      <w:tr>
        <w:tc>
          <w:tcPr>
            <w:tcW w:type="dxa" w:w="2160"/>
          </w:tcPr>
          <w:p>
            <w:r>
              <w:rPr>
                <w:rFonts w:ascii="Calibri" w:hAnsi="Calibri"/>
                <w:sz w:val="22"/>
              </w:rPr>
              <w:t>Jul 29, 2026 (SLGN Earnings)</w:t>
            </w:r>
          </w:p>
        </w:tc>
        <w:tc>
          <w:tcPr>
            <w:tcW w:type="dxa" w:w="2160"/>
          </w:tcPr>
          <w:p>
            <w:r>
              <w:rPr>
                <w:rFonts w:ascii="Calibri" w:hAnsi="Calibri"/>
                <w:sz w:val="22"/>
              </w:rPr>
              <w:t>115.3</w:t>
            </w:r>
          </w:p>
        </w:tc>
        <w:tc>
          <w:tcPr>
            <w:tcW w:type="dxa" w:w="2160"/>
          </w:tcPr>
          <w:p>
            <w:r>
              <w:rPr>
                <w:rFonts w:ascii="Calibri" w:hAnsi="Calibri"/>
                <w:sz w:val="22"/>
              </w:rPr>
              <w:t>103.9</w:t>
            </w:r>
          </w:p>
        </w:tc>
        <w:tc>
          <w:tcPr>
            <w:tcW w:type="dxa" w:w="2160"/>
          </w:tcPr>
          <w:p>
            <w:r>
              <w:rPr>
                <w:rFonts w:ascii="Calibri" w:hAnsi="Calibri"/>
                <w:sz w:val="22"/>
              </w:rPr>
              <w:t>100.8</w:t>
            </w:r>
          </w:p>
        </w:tc>
      </w:tr>
      <w:tr>
        <w:tc>
          <w:tcPr>
            <w:tcW w:type="dxa" w:w="2160"/>
          </w:tcPr>
          <w:p>
            <w:r>
              <w:rPr>
                <w:rFonts w:ascii="Calibri" w:hAnsi="Calibri"/>
                <w:sz w:val="22"/>
              </w:rPr>
              <w:t>Aug 4, 2026 (Latest)</w:t>
            </w:r>
          </w:p>
        </w:tc>
        <w:tc>
          <w:tcPr>
            <w:tcW w:type="dxa" w:w="2160"/>
          </w:tcPr>
          <w:p>
            <w:r>
              <w:rPr>
                <w:rFonts w:ascii="Calibri" w:hAnsi="Calibri"/>
                <w:sz w:val="22"/>
              </w:rPr>
              <w:t>114.1</w:t>
            </w:r>
          </w:p>
        </w:tc>
        <w:tc>
          <w:tcPr>
            <w:tcW w:type="dxa" w:w="2160"/>
          </w:tcPr>
          <w:p>
            <w:r>
              <w:rPr>
                <w:rFonts w:ascii="Calibri" w:hAnsi="Calibri"/>
                <w:sz w:val="22"/>
              </w:rPr>
              <w:t>101.0</w:t>
            </w:r>
          </w:p>
        </w:tc>
        <w:tc>
          <w:tcPr>
            <w:tcW w:type="dxa" w:w="2160"/>
          </w:tcPr>
          <w:p>
            <w:r>
              <w:rPr>
                <w:rFonts w:ascii="Calibri" w:hAnsi="Calibri"/>
                <w:sz w:val="22"/>
              </w:rPr>
              <w:t>104.7</w:t>
            </w:r>
          </w:p>
        </w:tc>
      </w:tr>
    </w:tbl>
    <w:p>
      <w:r>
        <w:rPr>
          <w:rFonts w:ascii="Calibri" w:hAnsi="Calibri"/>
          <w:i/>
          <w:color w:val="525866"/>
          <w:sz w:val="22"/>
        </w:rPr>
        <w:t>Sector ETF: XLP (Consumer Staples Select Sector SPDR), used as the packaging/consumer staples proxy. Note: A dedicated packaging ETF does not exist; XLP is the closest liquid benchmark for Ball's end-market exposure. Source: Stock Price Data (Yahoo Finance).</w:t>
      </w:r>
    </w:p>
    <w:p>
      <w:r>
        <w:rPr>
          <w:rFonts w:ascii="Calibri" w:hAnsi="Calibri"/>
          <w:b/>
          <w:color w:val="525866"/>
          <w:sz w:val="22"/>
        </w:rPr>
        <w:t xml:space="preserve">Performance Commentary: </w:t>
      </w:r>
      <w:r>
        <w:rPr>
          <w:rFonts w:ascii="Calibri" w:hAnsi="Calibri"/>
          <w:color w:val="525866"/>
          <w:sz w:val="22"/>
        </w:rPr>
        <w:t>BALL underperformed in the first three weeks post-earnings (stock drifted from $57.11 to ~$53–$55 range through early June) as the market digested the Q2/Q3 start-up cost headwind. The inflection came around June 10 (Wells Fargo conference), where CEO Lewis's explicit mid-single-digit Q2 volume guidance and South America recovery confirmation catalyzed a re-rating. The stock then rallied sharply through late June and into July, with peer earnings from CCK (July 21) and SLGN (July 29) providing additional positive read-through on beverage can demand. The 6-month performance decomposition shows EV/EBITDA expanded from ~10.2x to ~10.9x (+6.2%), accounting for the majority of the price gain, while estimate revisions contributed minimally. At current levels, the stock is pricing in continued execution but not a material guidance raise.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CEO Lewis's explicit Q2 volume guidance (mid-single digits, 10th consecutive quarter of growth) at the June 10 Wells Fargo conference, which effectively pre-announced a volume beat and drove the stock's re-rating; the secondary risk is the evolving tariff environment, which Ball has largely insulated itself from via aluminum pass-through contracts.</w:t>
      </w:r>
    </w:p>
    <w:p>
      <w:pPr>
        <w:pStyle w:val="ListBullet"/>
        <w:ind w:left="360" w:hanging="360"/>
      </w:pPr>
      <w:r>
        <w:rPr>
          <w:rFonts w:ascii="Calibri" w:hAnsi="Calibri"/>
          <w:b/>
          <w:color w:val="525866"/>
          <w:sz w:val="22"/>
        </w:rPr>
        <w:t>June 10, 2026 — Wells Fargo Industrials &amp; Materials Conference:</w:t>
      </w:r>
      <w:r>
        <w:rPr>
          <w:rFonts w:ascii="Calibri" w:hAnsi="Calibri"/>
          <w:color w:val="525866"/>
          <w:sz w:val="22"/>
        </w:rPr>
        <w:t xml:space="preserve"> CEO Ron Lewis guided explicitly to mid-single-digit enterprise volume growth for Q2 2026 (the 10th consecutive quarter of growth), confirmed South America April volumes +20% YoY with May "just as strong," reaffirmed full-year 10%-plus EPS and &gt;$900M FCF guidance, and disclosed the $500M productivity program will be delivered a year early (by end of 2026). Implication: Effectively a pre-announcement of a volume beat; drove the stock's June re-rating.</w:t>
      </w:r>
    </w:p>
    <w:p>
      <w:pPr>
        <w:pStyle w:val="ListBullet"/>
        <w:ind w:left="360" w:hanging="360"/>
      </w:pPr>
      <w:r>
        <w:rPr>
          <w:rFonts w:ascii="Calibri" w:hAnsi="Calibri"/>
          <w:b/>
          <w:color w:val="525866"/>
          <w:sz w:val="22"/>
        </w:rPr>
        <w:t>May 5, 2026 — Q1 2026 Earnings Beat:</w:t>
      </w:r>
      <w:r>
        <w:rPr>
          <w:rFonts w:ascii="Calibri" w:hAnsi="Calibri"/>
          <w:color w:val="525866"/>
          <w:sz w:val="22"/>
        </w:rPr>
        <w:t xml:space="preserve"> Comparable diluted EPS of $0.94 (+22% YoY) beat consensus of $0.83 by 13.3%; revenue of $3.603B beat by 8.1%. Operating leverage exceeded the 2x target despite only ~1% global volume growth. Management flagged $35M of Millersburg start-up and NS domestication costs beginning in Q2 and concentrating in Q3. Implication: Strong baseline but Q2/Q3 cost headwind is the key watch item.</w:t>
      </w:r>
    </w:p>
    <w:p>
      <w:pPr>
        <w:pStyle w:val="ListBullet"/>
        <w:ind w:left="360" w:hanging="360"/>
      </w:pPr>
      <w:r>
        <w:rPr>
          <w:rFonts w:ascii="Calibri" w:hAnsi="Calibri"/>
          <w:b/>
          <w:color w:val="525866"/>
          <w:sz w:val="22"/>
        </w:rPr>
        <w:t>July 2026 — Tariff Environment (Section 301 / Section 232):</w:t>
      </w:r>
      <w:r>
        <w:rPr>
          <w:rFonts w:ascii="Calibri" w:hAnsi="Calibri"/>
          <w:color w:val="525866"/>
          <w:sz w:val="22"/>
        </w:rPr>
        <w:t xml:space="preserve"> New 10–12.5% Section 301 tariffs on 60 trading partners took effect July 24, 2026, following the Supreme Court's February 2026 ruling striking down IEEPA-based tariffs. Ball's aluminum cost exposure is largely insulated via direct pass-through contracts (CEO confirmed "virtually no aluminum risk"). However, tariffs on Brazilian goods (stacking to ~37.5%) could indirectly pressure South American customer economics. Implication: Manageable for Ball directly; watch for any customer demand softness in South America.</w:t>
      </w:r>
    </w:p>
    <w:p>
      <w:pPr>
        <w:pStyle w:val="ListBullet"/>
        <w:ind w:left="360" w:hanging="360"/>
      </w:pPr>
      <w:r>
        <w:rPr>
          <w:rFonts w:ascii="Calibri" w:hAnsi="Calibri"/>
          <w:b/>
          <w:color w:val="525866"/>
          <w:sz w:val="22"/>
        </w:rPr>
        <w:t>July 21–29, 2026 — Peer Earnings (CCK, AMBP, SLGN):</w:t>
      </w:r>
      <w:r>
        <w:rPr>
          <w:rFonts w:ascii="Calibri" w:hAnsi="Calibri"/>
          <w:color w:val="525866"/>
          <w:sz w:val="22"/>
        </w:rPr>
        <w:t xml:space="preserve"> Crown Holdings raised FY2026 EPS guidance to $8.30–$8.50 (from $7.90–$8.30) and confirmed North America beverage can demand "very firm" with July "very firm"; Ardagh Metal Packaging upgraded FY2026 EBITDA guidance to $775–$790M; Silgan confirmed volumes above prior year in all segments. Implication: Broad-based positive read-through for Ball's Q2 volume and demand environment. See Section 8 for detailed peer commentary.</w:t>
      </w:r>
    </w:p>
    <w:p>
      <w:pPr>
        <w:pStyle w:val="ListBullet"/>
        <w:ind w:left="360" w:hanging="360"/>
      </w:pPr>
      <w:r>
        <w:rPr>
          <w:rFonts w:ascii="Calibri" w:hAnsi="Calibri"/>
          <w:b/>
          <w:color w:val="525866"/>
          <w:sz w:val="22"/>
        </w:rPr>
        <w:t>July 22, 2026 — Norsk Hydro Q2 Results:</w:t>
      </w:r>
      <w:r>
        <w:rPr>
          <w:rFonts w:ascii="Calibri" w:hAnsi="Calibri"/>
          <w:color w:val="525866"/>
          <w:sz w:val="22"/>
        </w:rPr>
        <w:t xml:space="preserve"> Hydro reported solid Q2 EBITDA upside driven by </w:t>
      </w:r>
      <w:r>
        <w:rPr>
          <w:rFonts w:ascii="Calibri" w:hAnsi="Calibri"/>
          <w:b/>
          <w:color w:val="525866"/>
          <w:sz w:val="22"/>
        </w:rPr>
        <w:t>higher aluminum prices and product premiums</w:t>
      </w:r>
      <w:r>
        <w:rPr>
          <w:rFonts w:ascii="Calibri" w:hAnsi="Calibri"/>
          <w:color w:val="525866"/>
          <w:sz w:val="22"/>
        </w:rPr>
        <w:t xml:space="preserve"> combined with improved recycling results. Implication: Higher aluminum prices are a pass-through for Ball (revenue positive, margin neutral), but confirms the aluminum market is constructive.</w:t>
      </w:r>
    </w:p>
    <w:p>
      <w:pPr>
        <w:pStyle w:val="ListBullet"/>
        <w:ind w:left="360" w:hanging="360"/>
      </w:pPr>
      <w:r>
        <w:rPr>
          <w:rFonts w:ascii="Calibri" w:hAnsi="Calibri"/>
          <w:b/>
          <w:color w:val="525866"/>
          <w:sz w:val="22"/>
        </w:rPr>
        <w:t>Ongoing — Middle East Conflict / Aluminum Supply:</w:t>
      </w:r>
      <w:r>
        <w:rPr>
          <w:rFonts w:ascii="Calibri" w:hAnsi="Calibri"/>
          <w:color w:val="525866"/>
          <w:sz w:val="22"/>
        </w:rPr>
        <w:t xml:space="preserve"> CEO Lewis noted at the June 10 conference that 9% of global primary aluminum is produced in the Middle East and has been "affected and disrupted," but characterized disruptions as "point disruptions" with no supply availability issue — only potential price increases, which Ball passes through. CCK and AMBP both flagged freight and industrial gas cost headwinds of $0.07–$0.10/share (CCK) and mid-single-digit million dollars (AMBP) in H2 2026. Implication: Modest cost headwind for Ball in H2; watch for any commentary on unrecovered cost timing.</w:t>
      </w:r>
    </w:p>
    <w:p>
      <w:pPr>
        <w:pStyle w:val="ListBullet"/>
        <w:ind w:left="360" w:hanging="360"/>
      </w:pPr>
      <w:r>
        <w:rPr>
          <w:rFonts w:ascii="Calibri" w:hAnsi="Calibri"/>
          <w:b/>
          <w:color w:val="525866"/>
          <w:sz w:val="22"/>
        </w:rPr>
        <w:t>No Insider Transactions Detected:</w:t>
      </w:r>
      <w:r>
        <w:rPr>
          <w:rFonts w:ascii="Calibri" w:hAnsi="Calibri"/>
          <w:color w:val="525866"/>
          <w:sz w:val="22"/>
        </w:rPr>
        <w:t xml:space="preserve"> No open-market buys or sells by BALL insiders were identified in the 60-day window prior to August 3, 2026. See Section 7 for detail.</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buys or sells were identified for BALL in the 60-day window prior to August 3, 2026. The absence of insider selling ahead of earnings is a mild positive signal — no insider appears to be reducing exposure ahead of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transactions (Form 4 codes P/S) identified for BALL in the June 3 – August 3, 2026 window. Source: SEC Form 4 Filings Database.</w:t>
            </w:r>
          </w:p>
        </w:tc>
      </w:tr>
    </w:tbl>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All three primary packaging peers (CCK, AMBP, SLGN) reported Q2 2026 results in the last two weeks of July and provided forward-looking commentary that is broadly constructive for Ball's Q2 print and H2 outlook: North America and European beverage can demand is firm-to-strong, pricing pass-through mechanisms are working, and volume growth is tracking low-to-mid single digits. The primary caution is Brazil/South America softness (flagged by AMBP and SLGN) and emerging freight/energy cost headwinds from the Middle East conflict (flagged by CCK and AMBP) that could pressure H2 margins.</w:t>
      </w:r>
    </w:p>
    <w:p>
      <w:r>
        <w:rPr>
          <w:rFonts w:ascii="Calibri" w:hAnsi="Calibri"/>
          <w:b/>
          <w:i/>
          <w:color w:val="525866"/>
          <w:sz w:val="22"/>
        </w:rPr>
        <w:t xml:space="preserve">Methodology Note: </w:t>
      </w:r>
      <w:r>
        <w:rPr>
          <w:rFonts w:ascii="Calibri" w:hAnsi="Calibri"/>
          <w:i/>
          <w:color w:val="525866"/>
          <w:sz w:val="22"/>
        </w:rPr>
        <w:t>The commentary below is restricted exclusively to forward-looking statements about Q3 2026, H2 2026, and full-year 2026 outlook, plus July-to-date volume trends, as disclosed by peers in their Q2 2026 earnings calls (July 20–29, 2026). Retrospective commentary about peers' own completed Q2 2026 results is excluded except where indispensable to frame a forward outlook. All three peers (CCK, AMBP, SLGN) report one quarter ahead of BALL (their Q2 is already reported; BALL's Q2 is the upcoming print), so their forward-looking H2 commentary is the most relevant read-through for BALL's Q2 and H2 setup.</w:t>
      </w:r>
    </w:p>
    <w:p>
      <w:pPr>
        <w:pStyle w:val="Heading3"/>
      </w:pPr>
      <w:r>
        <w:rPr>
          <w:rFonts w:ascii="Calibri" w:hAnsi="Calibri"/>
          <w:b/>
          <w:color w:val="3B4259"/>
          <w:sz w:val="24"/>
        </w:rPr>
        <w:t>Crown Holdings (CCK) — Q2 2026 Earnings Call, July 21, 2026</w:t>
      </w:r>
    </w:p>
    <w:p>
      <w:r>
        <w:rPr>
          <w:rFonts w:ascii="Calibri" w:hAnsi="Calibri"/>
          <w:b/>
          <w:color w:val="525866"/>
          <w:sz w:val="22"/>
        </w:rPr>
        <w:t xml:space="preserve">Relevance to BALL: </w:t>
      </w:r>
      <w:r>
        <w:rPr>
          <w:rFonts w:ascii="Calibri" w:hAnsi="Calibri"/>
          <w:color w:val="525866"/>
          <w:sz w:val="22"/>
        </w:rPr>
        <w:t>CCK is Ball's closest direct peer in aluminum beverage cans globally, with significant North America and European exposure. CCK's commentary on beverage can volumes, pricing, and cost dynamics is the highest-quality read-through available.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CCK Forward-Looking Commentary (Q2 2026 Call, July 21, 2026)</w:t>
            </w:r>
          </w:p>
        </w:tc>
        <w:tc>
          <w:tcPr>
            <w:tcW w:type="dxa" w:w="2880"/>
            <w:shd w:val="clear" w:color="auto" w:fill="3B4259"/>
          </w:tcPr>
          <w:p>
            <w:r>
              <w:rPr>
                <w:rFonts w:ascii="Calibri" w:hAnsi="Calibri"/>
                <w:b/>
                <w:color w:val="FFFFFF"/>
                <w:sz w:val="22"/>
              </w:rPr>
              <w:t>Read-Through for BALL</w:t>
            </w:r>
          </w:p>
        </w:tc>
      </w:tr>
      <w:tr>
        <w:tc>
          <w:tcPr>
            <w:tcW w:type="dxa" w:w="2880"/>
          </w:tcPr>
          <w:p>
            <w:r>
              <w:rPr>
                <w:rFonts w:ascii="Calibri" w:hAnsi="Calibri"/>
                <w:sz w:val="22"/>
              </w:rPr>
              <w:t>North America Volumes</w:t>
            </w:r>
          </w:p>
        </w:tc>
        <w:tc>
          <w:tcPr>
            <w:tcW w:type="dxa" w:w="2880"/>
          </w:tcPr>
          <w:p>
            <w:r>
              <w:rPr>
                <w:rFonts w:ascii="Calibri" w:hAnsi="Calibri"/>
                <w:sz w:val="22"/>
              </w:rPr>
              <w:t>"North America is continuing to see high demand. Certainly July has been very firm." Full-year 2026 North American can shipments expected "3 to 4% above 2025." Market utilization in "mid to high 90s" — effectively 110% utilization April–August.</w:t>
            </w:r>
          </w:p>
        </w:tc>
        <w:tc>
          <w:tcPr>
            <w:tcW w:type="dxa" w:w="2880"/>
          </w:tcPr>
          <w:p>
            <w:r>
              <w:rPr>
                <w:rFonts w:ascii="Calibri" w:hAnsi="Calibri"/>
                <w:b/>
                <w:color w:val="30A46C"/>
                <w:sz w:val="22"/>
              </w:rPr>
              <w:t>Strongly positive. Ball guided to mid-single-digit Q2 enterprise volume growth; CCK's July confirmation of "very firm" demand supports Ball's Q2 volume beat thesis. High utilization rates validate Ball's capacity-constrained North America narrative.</w:t>
            </w:r>
          </w:p>
        </w:tc>
      </w:tr>
      <w:tr>
        <w:tc>
          <w:tcPr>
            <w:tcW w:type="dxa" w:w="2880"/>
          </w:tcPr>
          <w:p>
            <w:r>
              <w:rPr>
                <w:rFonts w:ascii="Calibri" w:hAnsi="Calibri"/>
                <w:sz w:val="22"/>
              </w:rPr>
              <w:t>Europe Volumes</w:t>
            </w:r>
          </w:p>
        </w:tc>
        <w:tc>
          <w:tcPr>
            <w:tcW w:type="dxa" w:w="2880"/>
          </w:tcPr>
          <w:p>
            <w:r>
              <w:rPr>
                <w:rFonts w:ascii="Calibri" w:hAnsi="Calibri"/>
                <w:sz w:val="22"/>
              </w:rPr>
              <w:t>"Europe remains sold out more or less." "No slowdown yet seen in Europe." New capacity in Greece commercialized in July; additional Spain and second Greek line coming late 2026.</w:t>
            </w:r>
          </w:p>
        </w:tc>
        <w:tc>
          <w:tcPr>
            <w:tcW w:type="dxa" w:w="2880"/>
          </w:tcPr>
          <w:p>
            <w:r>
              <w:rPr>
                <w:rFonts w:ascii="Calibri" w:hAnsi="Calibri"/>
                <w:b/>
                <w:color w:val="30A46C"/>
                <w:sz w:val="22"/>
              </w:rPr>
              <w:t>Positive. Ball's EMEA segment is expected to grow above its 3–5% long-term range in 2026 (aided by Benepack acquisition). CCK's "sold out" characterization of Europe confirms the structural demand backdrop.</w:t>
            </w:r>
          </w:p>
        </w:tc>
      </w:tr>
      <w:tr>
        <w:tc>
          <w:tcPr>
            <w:tcW w:type="dxa" w:w="2880"/>
          </w:tcPr>
          <w:p>
            <w:r>
              <w:rPr>
                <w:rFonts w:ascii="Calibri" w:hAnsi="Calibri"/>
                <w:sz w:val="22"/>
              </w:rPr>
              <w:t>Global Demand Outlook</w:t>
            </w:r>
          </w:p>
        </w:tc>
        <w:tc>
          <w:tcPr>
            <w:tcW w:type="dxa" w:w="2880"/>
          </w:tcPr>
          <w:p>
            <w:r>
              <w:rPr>
                <w:rFonts w:ascii="Calibri" w:hAnsi="Calibri"/>
                <w:sz w:val="22"/>
              </w:rPr>
              <w:t>"Demand is going to remain strong for aluminum beverage and steel food as we look through the rest of the year." For 2027: "probable that our volume next year will be up compared to this year."</w:t>
            </w:r>
          </w:p>
        </w:tc>
        <w:tc>
          <w:tcPr>
            <w:tcW w:type="dxa" w:w="2880"/>
          </w:tcPr>
          <w:p>
            <w:r>
              <w:rPr>
                <w:rFonts w:ascii="Calibri" w:hAnsi="Calibri"/>
                <w:b/>
                <w:color w:val="30A46C"/>
                <w:sz w:val="22"/>
              </w:rPr>
              <w:t>Positive for Ball's H2 2026 and 2027 volume visibility. Ball is &gt;90% contracted for 2027 and &gt;50% through end of decade.</w:t>
            </w:r>
          </w:p>
        </w:tc>
      </w:tr>
      <w:tr>
        <w:tc>
          <w:tcPr>
            <w:tcW w:type="dxa" w:w="2880"/>
          </w:tcPr>
          <w:p>
            <w:r>
              <w:rPr>
                <w:rFonts w:ascii="Calibri" w:hAnsi="Calibri"/>
                <w:sz w:val="22"/>
              </w:rPr>
              <w:t>Promotional Activity</w:t>
            </w:r>
          </w:p>
        </w:tc>
        <w:tc>
          <w:tcPr>
            <w:tcW w:type="dxa" w:w="2880"/>
          </w:tcPr>
          <w:p>
            <w:r>
              <w:rPr>
                <w:rFonts w:ascii="Calibri" w:hAnsi="Calibri"/>
                <w:sz w:val="22"/>
              </w:rPr>
              <w:t>"The companies are promoting more. One of the large retailers has a number of rollbacks across beverage and food products. That generally bodes well for our volumes."</w:t>
            </w:r>
          </w:p>
        </w:tc>
        <w:tc>
          <w:tcPr>
            <w:tcW w:type="dxa" w:w="2880"/>
          </w:tcPr>
          <w:p>
            <w:r>
              <w:rPr>
                <w:rFonts w:ascii="Calibri" w:hAnsi="Calibri"/>
                <w:b/>
                <w:color w:val="30A46C"/>
                <w:sz w:val="22"/>
              </w:rPr>
              <w:t>Positive. Increased promotional activity by CPG customers and retailers is a volume tailwind for beverage cans. Ball's CEO made similar observations at the June 10 conference.</w:t>
            </w:r>
          </w:p>
        </w:tc>
      </w:tr>
      <w:tr>
        <w:tc>
          <w:tcPr>
            <w:tcW w:type="dxa" w:w="2880"/>
          </w:tcPr>
          <w:p>
            <w:r>
              <w:rPr>
                <w:rFonts w:ascii="Calibri" w:hAnsi="Calibri"/>
                <w:sz w:val="22"/>
              </w:rPr>
              <w:t>Cost / Middle East Headwind</w:t>
            </w:r>
          </w:p>
        </w:tc>
        <w:tc>
          <w:tcPr>
            <w:tcW w:type="dxa" w:w="2880"/>
          </w:tcPr>
          <w:p>
            <w:r>
              <w:rPr>
                <w:rFonts w:ascii="Calibri" w:hAnsi="Calibri"/>
                <w:sz w:val="22"/>
              </w:rPr>
              <w:t>"We have a little bit of caution around the second half" due to Middle East conflict driving inflation in ocean freight and industrial gases. Estimated EPS impact: $0.07–$0.10 in H2 2026 (vs. $0.05–$0.06 in Q2). Cost recovery mechanisms "will reset either at the end of the year or early next year."</w:t>
            </w:r>
          </w:p>
        </w:tc>
        <w:tc>
          <w:tcPr>
            <w:tcW w:type="dxa" w:w="2880"/>
          </w:tcPr>
          <w:p>
            <w:r>
              <w:rPr>
                <w:rFonts w:ascii="Calibri" w:hAnsi="Calibri"/>
                <w:b/>
                <w:color w:val="E5484D"/>
                <w:sz w:val="22"/>
              </w:rPr>
              <w:t>Mild negative for Ball's H2 margins. Ball passes through aluminum costs immediately but other cost pass-throughs are formulaic/annual. Freight and industrial gas inflation could create a temporary margin lag in Q3–Q4.</w:t>
            </w:r>
          </w:p>
        </w:tc>
      </w:tr>
      <w:tr>
        <w:tc>
          <w:tcPr>
            <w:tcW w:type="dxa" w:w="2880"/>
          </w:tcPr>
          <w:p>
            <w:r>
              <w:rPr>
                <w:rFonts w:ascii="Calibri" w:hAnsi="Calibri"/>
                <w:sz w:val="22"/>
              </w:rPr>
              <w:t>FY2026 Guidance Raise</w:t>
            </w:r>
          </w:p>
        </w:tc>
        <w:tc>
          <w:tcPr>
            <w:tcW w:type="dxa" w:w="2880"/>
          </w:tcPr>
          <w:p>
            <w:r>
              <w:rPr>
                <w:rFonts w:ascii="Calibri" w:hAnsi="Calibri"/>
                <w:sz w:val="22"/>
              </w:rPr>
              <w:t>Raised FY2026 adjusted diluted EPS guidance to $8.30–$8.50 (from $7.90–$8.30). Adjusted FCF raised to "at least $900M" (from "approximately $900M"). Q3 2026 EPS guided to $2.20–$2.30.</w:t>
            </w:r>
          </w:p>
        </w:tc>
        <w:tc>
          <w:tcPr>
            <w:tcW w:type="dxa" w:w="2880"/>
          </w:tcPr>
          <w:p>
            <w:r>
              <w:rPr>
                <w:rFonts w:ascii="Calibri" w:hAnsi="Calibri"/>
                <w:b/>
                <w:color w:val="30A46C"/>
                <w:sz w:val="22"/>
              </w:rPr>
              <w:t>Positive signal. A peer guidance raise in the same end-market environment supports Ball's ability to at least maintain its 10%-plus EPS growth algorithm.</w:t>
            </w:r>
          </w:p>
        </w:tc>
      </w:tr>
    </w:tbl>
    <w:p>
      <w:r>
        <w:rPr>
          <w:rFonts w:ascii="Calibri" w:hAnsi="Calibri"/>
          <w:b/>
          <w:i/>
          <w:color w:val="525866"/>
          <w:sz w:val="22"/>
        </w:rPr>
        <w:t xml:space="preserve">Limitations: </w:t>
      </w:r>
      <w:r>
        <w:rPr>
          <w:rFonts w:ascii="Calibri" w:hAnsi="Calibri"/>
          <w:i/>
          <w:color w:val="525866"/>
          <w:sz w:val="22"/>
        </w:rPr>
        <w:t>CCK's North America segment includes steel food cans and transit packaging in addition to aluminum beverage cans; the "very firm" demand commentary is most directly applicable to beverage cans but is not exclusively so. CCK's cost recovery mechanism timing may differ from Ball's contractual structure.</w:t>
      </w:r>
    </w:p>
    <w:p>
      <w:pPr>
        <w:pStyle w:val="Heading3"/>
      </w:pPr>
      <w:r>
        <w:rPr>
          <w:rFonts w:ascii="Calibri" w:hAnsi="Calibri"/>
          <w:b/>
          <w:color w:val="3B4259"/>
          <w:sz w:val="24"/>
        </w:rPr>
        <w:t>Ardagh Metal Packaging (AMBP) — Q2 2026 Earnings Call, July 23, 2026</w:t>
      </w:r>
    </w:p>
    <w:p>
      <w:r>
        <w:rPr>
          <w:rFonts w:ascii="Calibri" w:hAnsi="Calibri"/>
          <w:b/>
          <w:color w:val="525866"/>
          <w:sz w:val="22"/>
        </w:rPr>
        <w:t xml:space="preserve">Relevance to BALL: </w:t>
      </w:r>
      <w:r>
        <w:rPr>
          <w:rFonts w:ascii="Calibri" w:hAnsi="Calibri"/>
          <w:color w:val="525866"/>
          <w:sz w:val="22"/>
        </w:rPr>
        <w:t>AMBP is a pure-play aluminum beverage can manufacturer with significant North America and European exposure, making it the most direct read-through for Ball's core business. AMBP's 2026 is a "transition year" due to contract resets, so volume trends are not directly comparable, but demand and cost commentary is highly relevant.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AMBP Forward-Looking Commentary (Q2 2026 Call, July 23, 2026)</w:t>
            </w:r>
          </w:p>
        </w:tc>
        <w:tc>
          <w:tcPr>
            <w:tcW w:type="dxa" w:w="2880"/>
            <w:shd w:val="clear" w:color="auto" w:fill="3B4259"/>
          </w:tcPr>
          <w:p>
            <w:r>
              <w:rPr>
                <w:rFonts w:ascii="Calibri" w:hAnsi="Calibri"/>
                <w:b/>
                <w:color w:val="FFFFFF"/>
                <w:sz w:val="22"/>
              </w:rPr>
              <w:t>Read-Through for BALL</w:t>
            </w:r>
          </w:p>
        </w:tc>
      </w:tr>
      <w:tr>
        <w:tc>
          <w:tcPr>
            <w:tcW w:type="dxa" w:w="2880"/>
          </w:tcPr>
          <w:p>
            <w:r>
              <w:rPr>
                <w:rFonts w:ascii="Calibri" w:hAnsi="Calibri"/>
                <w:sz w:val="22"/>
              </w:rPr>
              <w:t>Global Volume Outlook</w:t>
            </w:r>
          </w:p>
        </w:tc>
        <w:tc>
          <w:tcPr>
            <w:tcW w:type="dxa" w:w="2880"/>
          </w:tcPr>
          <w:p>
            <w:r>
              <w:rPr>
                <w:rFonts w:ascii="Calibri" w:hAnsi="Calibri"/>
                <w:sz w:val="22"/>
              </w:rPr>
              <w:t>"We expect a return to modest global volume growth in the second half, supported by the strength in global beverage can demand."</w:t>
            </w:r>
          </w:p>
        </w:tc>
        <w:tc>
          <w:tcPr>
            <w:tcW w:type="dxa" w:w="2880"/>
          </w:tcPr>
          <w:p>
            <w:r>
              <w:rPr>
                <w:rFonts w:ascii="Calibri" w:hAnsi="Calibri"/>
                <w:b/>
                <w:color w:val="30A46C"/>
                <w:sz w:val="22"/>
              </w:rPr>
              <w:t>Positive. Confirms the global beverage can demand environment supports Ball's H2 volume growth targets.</w:t>
            </w:r>
          </w:p>
        </w:tc>
      </w:tr>
      <w:tr>
        <w:tc>
          <w:tcPr>
            <w:tcW w:type="dxa" w:w="2880"/>
          </w:tcPr>
          <w:p>
            <w:r>
              <w:rPr>
                <w:rFonts w:ascii="Calibri" w:hAnsi="Calibri"/>
                <w:sz w:val="22"/>
              </w:rPr>
              <w:t>Europe Volumes</w:t>
            </w:r>
          </w:p>
        </w:tc>
        <w:tc>
          <w:tcPr>
            <w:tcW w:type="dxa" w:w="2880"/>
          </w:tcPr>
          <w:p>
            <w:r>
              <w:rPr>
                <w:rFonts w:ascii="Calibri" w:hAnsi="Calibri"/>
                <w:sz w:val="22"/>
              </w:rPr>
              <w:t>Reaffirmed "volume growth of around 3% in Europe" for 2026. "The European growth story is fully intact and looks very positive for years to come." July volumes in Europe: "strong."</w:t>
            </w:r>
          </w:p>
        </w:tc>
        <w:tc>
          <w:tcPr>
            <w:tcW w:type="dxa" w:w="2880"/>
          </w:tcPr>
          <w:p>
            <w:r>
              <w:rPr>
                <w:rFonts w:ascii="Calibri" w:hAnsi="Calibri"/>
                <w:b/>
                <w:color w:val="30A46C"/>
                <w:sz w:val="22"/>
              </w:rPr>
              <w:t>Positive. Directly supports Ball's EMEA above-range growth expectation. The structural substrate shift from plastic/glass to aluminum is intact.</w:t>
            </w:r>
          </w:p>
        </w:tc>
      </w:tr>
      <w:tr>
        <w:tc>
          <w:tcPr>
            <w:tcW w:type="dxa" w:w="2880"/>
          </w:tcPr>
          <w:p>
            <w:r>
              <w:rPr>
                <w:rFonts w:ascii="Calibri" w:hAnsi="Calibri"/>
                <w:sz w:val="22"/>
              </w:rPr>
              <w:t>North America Volumes</w:t>
            </w:r>
          </w:p>
        </w:tc>
        <w:tc>
          <w:tcPr>
            <w:tcW w:type="dxa" w:w="2880"/>
          </w:tcPr>
          <w:p>
            <w:r>
              <w:rPr>
                <w:rFonts w:ascii="Calibri" w:hAnsi="Calibri"/>
                <w:sz w:val="22"/>
              </w:rPr>
              <w:t>Retained expectation for "industry growth in North America in 2026 of a low single digit percentage." July North America volumes: "a bit better" than Q2, consistent with H2 being stronger than H1.</w:t>
            </w:r>
          </w:p>
        </w:tc>
        <w:tc>
          <w:tcPr>
            <w:tcW w:type="dxa" w:w="2880"/>
          </w:tcPr>
          <w:p>
            <w:r>
              <w:rPr>
                <w:rFonts w:ascii="Calibri" w:hAnsi="Calibri"/>
                <w:b/>
                <w:color w:val="30A46C"/>
                <w:sz w:val="22"/>
              </w:rPr>
              <w:t>Positive. Industry-level low-single-digit growth in North America is consistent with Ball's capacity-constrained 1–3% long-term range. July improvement is a positive data point for Ball's Q2 close.</w:t>
            </w:r>
          </w:p>
        </w:tc>
      </w:tr>
      <w:tr>
        <w:tc>
          <w:tcPr>
            <w:tcW w:type="dxa" w:w="2880"/>
          </w:tcPr>
          <w:p>
            <w:r>
              <w:rPr>
                <w:rFonts w:ascii="Calibri" w:hAnsi="Calibri"/>
                <w:sz w:val="22"/>
              </w:rPr>
              <w:t>Brazil / South America</w:t>
            </w:r>
          </w:p>
        </w:tc>
        <w:tc>
          <w:tcPr>
            <w:tcW w:type="dxa" w:w="2880"/>
          </w:tcPr>
          <w:p>
            <w:r>
              <w:rPr>
                <w:rFonts w:ascii="Calibri" w:hAnsi="Calibri"/>
                <w:sz w:val="22"/>
              </w:rPr>
              <w:t>"The industry outlook for the third quarter is also looking soft." Full-year Brazil industry growth revised to "low single digit percentage." "Brazil has become more volatile post-Covid." July Brazil volumes: "definitely still soft."</w:t>
            </w:r>
          </w:p>
        </w:tc>
        <w:tc>
          <w:tcPr>
            <w:tcW w:type="dxa" w:w="2880"/>
          </w:tcPr>
          <w:p>
            <w:r>
              <w:rPr>
                <w:rFonts w:ascii="Calibri" w:hAnsi="Calibri"/>
                <w:b/>
                <w:color w:val="E5484D"/>
                <w:sz w:val="22"/>
              </w:rPr>
              <w:t>Mixed. Ball's South America was tracking strongly in April/May (+20% YoY), but AMBP's July softness commentary introduces uncertainty about whether Ball's South America recovery sustained through June and into Q3.</w:t>
            </w:r>
          </w:p>
        </w:tc>
      </w:tr>
      <w:tr>
        <w:tc>
          <w:tcPr>
            <w:tcW w:type="dxa" w:w="2880"/>
          </w:tcPr>
          <w:p>
            <w:r>
              <w:rPr>
                <w:rFonts w:ascii="Calibri" w:hAnsi="Calibri"/>
                <w:sz w:val="22"/>
              </w:rPr>
              <w:t>Specialty Can Capacity</w:t>
            </w:r>
          </w:p>
        </w:tc>
        <w:tc>
          <w:tcPr>
            <w:tcW w:type="dxa" w:w="2880"/>
          </w:tcPr>
          <w:p>
            <w:r>
              <w:rPr>
                <w:rFonts w:ascii="Calibri" w:hAnsi="Calibri"/>
                <w:sz w:val="22"/>
              </w:rPr>
              <w:t>"Getting pretty tight on specialty sizes, you know, sleek in the season, pretty tight." Increased CapEx by $40M to $240M to upsize Spain and UK capacity to "capitalise on strong industry demand."</w:t>
            </w:r>
          </w:p>
        </w:tc>
        <w:tc>
          <w:tcPr>
            <w:tcW w:type="dxa" w:w="2880"/>
          </w:tcPr>
          <w:p>
            <w:r>
              <w:rPr>
                <w:rFonts w:ascii="Calibri" w:hAnsi="Calibri"/>
                <w:b/>
                <w:color w:val="30A46C"/>
                <w:sz w:val="22"/>
              </w:rPr>
              <w:t>Positive. Tight specialty can capacity validates Ball's disciplined capacity expansion strategy and supports pricing power in high-growth formats (energy drinks, sleek cans).</w:t>
            </w:r>
          </w:p>
        </w:tc>
      </w:tr>
      <w:tr>
        <w:tc>
          <w:tcPr>
            <w:tcW w:type="dxa" w:w="2880"/>
          </w:tcPr>
          <w:p>
            <w:r>
              <w:rPr>
                <w:rFonts w:ascii="Calibri" w:hAnsi="Calibri"/>
                <w:sz w:val="22"/>
              </w:rPr>
              <w:t>Cost Headwinds (H2)</w:t>
            </w:r>
          </w:p>
        </w:tc>
        <w:tc>
          <w:tcPr>
            <w:tcW w:type="dxa" w:w="2880"/>
          </w:tcPr>
          <w:p>
            <w:r>
              <w:rPr>
                <w:rFonts w:ascii="Calibri" w:hAnsi="Calibri"/>
                <w:sz w:val="22"/>
              </w:rPr>
              <w:t>Freight and direct materials inflation from Middle East conflict: "mid single digit sort of percent million dollars" headwind in H2. Metal price timing reversal: "mid-single digit headwind." Consumer inflationary pressures "clearly worsening again" — "appropriate caution in the second half on volumes."</w:t>
            </w:r>
          </w:p>
        </w:tc>
        <w:tc>
          <w:tcPr>
            <w:tcW w:type="dxa" w:w="2880"/>
          </w:tcPr>
          <w:p>
            <w:r>
              <w:rPr>
                <w:rFonts w:ascii="Calibri" w:hAnsi="Calibri"/>
                <w:b/>
                <w:color w:val="E5484D"/>
                <w:sz w:val="22"/>
              </w:rPr>
              <w:t>Mild negative. Ball faces similar freight/energy cost dynamics in H2. Consumer inflation caution is a watch item for beverage demand, though Ball's CEO has been more sanguine on this point.</w:t>
            </w:r>
          </w:p>
        </w:tc>
      </w:tr>
      <w:tr>
        <w:tc>
          <w:tcPr>
            <w:tcW w:type="dxa" w:w="2880"/>
          </w:tcPr>
          <w:p>
            <w:r>
              <w:rPr>
                <w:rFonts w:ascii="Calibri" w:hAnsi="Calibri"/>
                <w:sz w:val="22"/>
              </w:rPr>
              <w:t>FY2026 Guidance Upgrade</w:t>
            </w:r>
          </w:p>
        </w:tc>
        <w:tc>
          <w:tcPr>
            <w:tcW w:type="dxa" w:w="2880"/>
          </w:tcPr>
          <w:p>
            <w:r>
              <w:rPr>
                <w:rFonts w:ascii="Calibri" w:hAnsi="Calibri"/>
                <w:sz w:val="22"/>
              </w:rPr>
              <w:t>Upgraded FY2026 adjusted EBITDA guidance to $775–$790M (from prior guidance). FCF guidance unchanged.</w:t>
            </w:r>
          </w:p>
        </w:tc>
        <w:tc>
          <w:tcPr>
            <w:tcW w:type="dxa" w:w="2880"/>
          </w:tcPr>
          <w:p>
            <w:r>
              <w:rPr>
                <w:rFonts w:ascii="Calibri" w:hAnsi="Calibri"/>
                <w:b/>
                <w:color w:val="30A46C"/>
                <w:sz w:val="22"/>
              </w:rPr>
              <w:t>Positive signal. A pure-play beverage can peer raising guidance in the same demand environment is a constructive read-through for Ball's ability to maintain its algorithm.</w:t>
            </w:r>
          </w:p>
        </w:tc>
      </w:tr>
    </w:tbl>
    <w:p>
      <w:r>
        <w:rPr>
          <w:rFonts w:ascii="Calibri" w:hAnsi="Calibri"/>
          <w:b/>
          <w:i/>
          <w:color w:val="525866"/>
          <w:sz w:val="22"/>
        </w:rPr>
        <w:t xml:space="preserve">Limitations: </w:t>
      </w:r>
      <w:r>
        <w:rPr>
          <w:rFonts w:ascii="Calibri" w:hAnsi="Calibri"/>
          <w:i/>
          <w:color w:val="525866"/>
          <w:sz w:val="22"/>
        </w:rPr>
        <w:t>AMBP's 2026 is a "transition year" due to contract resets with Boston Beer and other customers, causing AMBP-specific volume declines that do not reflect industry demand. Ball does not have equivalent contract disruptions. AMBP's Brazil softness commentary may reflect customer-specific dynamics rather than market-wide trends.</w:t>
      </w:r>
    </w:p>
    <w:p>
      <w:pPr>
        <w:pStyle w:val="Heading3"/>
      </w:pPr>
      <w:r>
        <w:rPr>
          <w:rFonts w:ascii="Calibri" w:hAnsi="Calibri"/>
          <w:b/>
          <w:color w:val="3B4259"/>
          <w:sz w:val="24"/>
        </w:rPr>
        <w:t>Silgan Holdings (SLGN) — Q2 2026 Earnings Call, July 29, 2026</w:t>
      </w:r>
    </w:p>
    <w:p>
      <w:r>
        <w:rPr>
          <w:rFonts w:ascii="Calibri" w:hAnsi="Calibri"/>
          <w:b/>
          <w:color w:val="525866"/>
          <w:sz w:val="22"/>
        </w:rPr>
        <w:t xml:space="preserve">Relevance to BALL: </w:t>
      </w:r>
      <w:r>
        <w:rPr>
          <w:rFonts w:ascii="Calibri" w:hAnsi="Calibri"/>
          <w:color w:val="525866"/>
          <w:sz w:val="22"/>
        </w:rPr>
        <w:t>SLGN is primarily a food can and dispensing/specialty closures manufacturer — its metal container segment is steel food cans, not aluminum beverage cans. Read-through to Ball is indirect but relevant for: (1) aluminum/steel cost pass-through dynamics, (2) CPG customer behavior and promotional activity, and (3) general packaging demand trends.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SLGN Forward-Looking Commentary (Q2 2026 Call, July 29, 2026)</w:t>
            </w:r>
          </w:p>
        </w:tc>
        <w:tc>
          <w:tcPr>
            <w:tcW w:type="dxa" w:w="2880"/>
            <w:shd w:val="clear" w:color="auto" w:fill="3B4259"/>
          </w:tcPr>
          <w:p>
            <w:r>
              <w:rPr>
                <w:rFonts w:ascii="Calibri" w:hAnsi="Calibri"/>
                <w:b/>
                <w:color w:val="FFFFFF"/>
                <w:sz w:val="22"/>
              </w:rPr>
              <w:t>Read-Through for BALL</w:t>
            </w:r>
          </w:p>
        </w:tc>
      </w:tr>
      <w:tr>
        <w:tc>
          <w:tcPr>
            <w:tcW w:type="dxa" w:w="2880"/>
          </w:tcPr>
          <w:p>
            <w:r>
              <w:rPr>
                <w:rFonts w:ascii="Calibri" w:hAnsi="Calibri"/>
                <w:sz w:val="22"/>
              </w:rPr>
              <w:t>Metal Container Volumes (Q3 / FY)</w:t>
            </w:r>
          </w:p>
        </w:tc>
        <w:tc>
          <w:tcPr>
            <w:tcW w:type="dxa" w:w="2880"/>
          </w:tcPr>
          <w:p>
            <w:r>
              <w:rPr>
                <w:rFonts w:ascii="Calibri" w:hAnsi="Calibri"/>
                <w:sz w:val="22"/>
              </w:rPr>
              <w:t>Expects "low to mid single digit volume growth for metal containers in Q3," driven by pet food growth and vegetable volume timing shift from Q2. Full-year metal container volumes "on track to grow by a low single digit percentage."</w:t>
            </w:r>
          </w:p>
        </w:tc>
        <w:tc>
          <w:tcPr>
            <w:tcW w:type="dxa" w:w="2880"/>
          </w:tcPr>
          <w:p>
            <w:r>
              <w:rPr>
                <w:rFonts w:ascii="Calibri" w:hAnsi="Calibri"/>
                <w:b/>
                <w:color w:val="30A46C"/>
                <w:sz w:val="22"/>
              </w:rPr>
              <w:t>Indirect positive. Low-to-mid single-digit metal container volume growth in Q3 is consistent with the broader packaging demand environment that supports Ball's beverage can volumes.</w:t>
            </w:r>
          </w:p>
        </w:tc>
      </w:tr>
      <w:tr>
        <w:tc>
          <w:tcPr>
            <w:tcW w:type="dxa" w:w="2880"/>
          </w:tcPr>
          <w:p>
            <w:r>
              <w:rPr>
                <w:rFonts w:ascii="Calibri" w:hAnsi="Calibri"/>
                <w:sz w:val="22"/>
              </w:rPr>
              <w:t>CPG Customer Behavior</w:t>
            </w:r>
          </w:p>
        </w:tc>
        <w:tc>
          <w:tcPr>
            <w:tcW w:type="dxa" w:w="2880"/>
          </w:tcPr>
          <w:p>
            <w:r>
              <w:rPr>
                <w:rFonts w:ascii="Calibri" w:hAnsi="Calibri"/>
                <w:sz w:val="22"/>
              </w:rPr>
              <w:t>"There's a much greater focus on volume right now throughout CPGs." Customers are using "promotional activity as a tool in the toolkit to move volume" — and it "is actually working and it is driving volume in certain segments."</w:t>
            </w:r>
          </w:p>
        </w:tc>
        <w:tc>
          <w:tcPr>
            <w:tcW w:type="dxa" w:w="2880"/>
          </w:tcPr>
          <w:p>
            <w:r>
              <w:rPr>
                <w:rFonts w:ascii="Calibri" w:hAnsi="Calibri"/>
                <w:b/>
                <w:color w:val="30A46C"/>
                <w:sz w:val="22"/>
              </w:rPr>
              <w:t>Positive. CPG customers shifting from price-over-volume to volume-focused strategies is a tailwind for beverage can demand. Ball's CEO made the same observation at the June 10 conference.</w:t>
            </w:r>
          </w:p>
        </w:tc>
      </w:tr>
      <w:tr>
        <w:tc>
          <w:tcPr>
            <w:tcW w:type="dxa" w:w="2880"/>
          </w:tcPr>
          <w:p>
            <w:r>
              <w:rPr>
                <w:rFonts w:ascii="Calibri" w:hAnsi="Calibri"/>
                <w:sz w:val="22"/>
              </w:rPr>
              <w:t>Aluminum / Steel Cost Pass-Through</w:t>
            </w:r>
          </w:p>
        </w:tc>
        <w:tc>
          <w:tcPr>
            <w:tcW w:type="dxa" w:w="2880"/>
          </w:tcPr>
          <w:p>
            <w:r>
              <w:rPr>
                <w:rFonts w:ascii="Calibri" w:hAnsi="Calibri"/>
                <w:sz w:val="22"/>
              </w:rPr>
              <w:t>Metal container sales increased 13% in Q2 "as a result of the contractual pass through of higher raw material and other manufacturing costs, principally related to steel and aluminum."</w:t>
            </w:r>
          </w:p>
        </w:tc>
        <w:tc>
          <w:tcPr>
            <w:tcW w:type="dxa" w:w="2880"/>
          </w:tcPr>
          <w:p>
            <w:r>
              <w:rPr>
                <w:rFonts w:ascii="Calibri" w:hAnsi="Calibri"/>
                <w:b/>
                <w:color w:val="30A46C"/>
                <w:sz w:val="22"/>
              </w:rPr>
              <w:t>Positive. Confirms that contractual pass-through mechanisms for aluminum and steel costs are functioning across the packaging industry, supporting Ball's revenue and margin model.</w:t>
            </w:r>
          </w:p>
        </w:tc>
      </w:tr>
      <w:tr>
        <w:tc>
          <w:tcPr>
            <w:tcW w:type="dxa" w:w="2880"/>
          </w:tcPr>
          <w:p>
            <w:r>
              <w:rPr>
                <w:rFonts w:ascii="Calibri" w:hAnsi="Calibri"/>
                <w:sz w:val="22"/>
              </w:rPr>
              <w:t>Tariff / Volatile Environment</w:t>
            </w:r>
          </w:p>
        </w:tc>
        <w:tc>
          <w:tcPr>
            <w:tcW w:type="dxa" w:w="2880"/>
          </w:tcPr>
          <w:p>
            <w:r>
              <w:rPr>
                <w:rFonts w:ascii="Calibri" w:hAnsi="Calibri"/>
                <w:sz w:val="22"/>
              </w:rPr>
              <w:t>"A fairly volatile environment today with tariffs and resin pricing and costs." Resin inflation ($10M Q2 impact) is "behind us now." Raw material volatility remains "tremendous."</w:t>
            </w:r>
          </w:p>
        </w:tc>
        <w:tc>
          <w:tcPr>
            <w:tcW w:type="dxa" w:w="2880"/>
          </w:tcPr>
          <w:p>
            <w:r>
              <w:rPr>
                <w:rFonts w:ascii="Calibri" w:hAnsi="Calibri"/>
                <w:i/>
                <w:sz w:val="22"/>
              </w:rPr>
              <w:t>Neutral. Ball's primary raw material is aluminum (not resin), so SLGN's resin commentary is not directly applicable. The general tariff volatility observation is relevant context.</w:t>
            </w:r>
          </w:p>
        </w:tc>
      </w:tr>
      <w:tr>
        <w:tc>
          <w:tcPr>
            <w:tcW w:type="dxa" w:w="2880"/>
          </w:tcPr>
          <w:p>
            <w:r>
              <w:rPr>
                <w:rFonts w:ascii="Calibri" w:hAnsi="Calibri"/>
                <w:sz w:val="22"/>
              </w:rPr>
              <w:t>FY2026 Guidance Confirmed</w:t>
            </w:r>
          </w:p>
        </w:tc>
        <w:tc>
          <w:tcPr>
            <w:tcW w:type="dxa" w:w="2880"/>
          </w:tcPr>
          <w:p>
            <w:r>
              <w:rPr>
                <w:rFonts w:ascii="Calibri" w:hAnsi="Calibri"/>
                <w:sz w:val="22"/>
              </w:rPr>
              <w:t>Confirmed FY2026 adjusted EPS of $3.73–$3.93 (vs. $3.72 in 2025). "Volumes are expected to be above prior year levels in all segments on a comparable basis for the full year of 2026." Confident in H2 delivery.</w:t>
            </w:r>
          </w:p>
        </w:tc>
        <w:tc>
          <w:tcPr>
            <w:tcW w:type="dxa" w:w="2880"/>
          </w:tcPr>
          <w:p>
            <w:r>
              <w:rPr>
                <w:rFonts w:ascii="Calibri" w:hAnsi="Calibri"/>
                <w:i/>
                <w:sz w:val="22"/>
              </w:rPr>
              <w:t>Neutral-to-positive. SLGN maintaining guidance in a volatile environment is a mild positive signal for packaging sector stability, though SLGN's business mix is materially different from Ball's.</w:t>
            </w:r>
          </w:p>
        </w:tc>
      </w:tr>
    </w:tbl>
    <w:p>
      <w:r>
        <w:rPr>
          <w:rFonts w:ascii="Calibri" w:hAnsi="Calibri"/>
          <w:b/>
          <w:i/>
          <w:color w:val="525866"/>
          <w:sz w:val="22"/>
        </w:rPr>
        <w:t xml:space="preserve">Limitations: </w:t>
      </w:r>
      <w:r>
        <w:rPr>
          <w:rFonts w:ascii="Calibri" w:hAnsi="Calibri"/>
          <w:i/>
          <w:color w:val="525866"/>
          <w:sz w:val="22"/>
        </w:rPr>
        <w:t>SLGN's metal container segment is steel food cans (pet food, human food, vegetables) — not aluminum beverage cans. Volume and pricing dynamics differ materially from Ball's core business. SLGN's CPG customer commentary is most relevant as a general demand signal rather than a direct beverage can read-through.</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Primary Source</w:t>
            </w:r>
          </w:p>
        </w:tc>
        <w:tc>
          <w:tcPr>
            <w:tcW w:type="dxa" w:w="2160"/>
            <w:shd w:val="clear" w:color="auto" w:fill="3B4259"/>
          </w:tcPr>
          <w:p>
            <w:r>
              <w:rPr>
                <w:rFonts w:ascii="Calibri" w:hAnsi="Calibri"/>
                <w:b/>
                <w:color w:val="FFFFFF"/>
                <w:sz w:val="22"/>
              </w:rPr>
              <w:t>Relevance to BALL Q2</w:t>
            </w:r>
          </w:p>
        </w:tc>
      </w:tr>
      <w:tr>
        <w:tc>
          <w:tcPr>
            <w:tcW w:type="dxa" w:w="2160"/>
          </w:tcPr>
          <w:p>
            <w:r>
              <w:rPr>
                <w:rFonts w:ascii="Calibri" w:hAnsi="Calibri"/>
                <w:sz w:val="22"/>
              </w:rPr>
              <w:t>North America beverage can demand (July)</w:t>
            </w:r>
          </w:p>
        </w:tc>
        <w:tc>
          <w:tcPr>
            <w:tcW w:type="dxa" w:w="2160"/>
          </w:tcPr>
          <w:p>
            <w:r>
              <w:rPr>
                <w:rFonts w:ascii="Calibri" w:hAnsi="Calibri"/>
                <w:b/>
                <w:color w:val="30A46C"/>
                <w:sz w:val="22"/>
              </w:rPr>
              <w:t>Positive</w:t>
            </w:r>
          </w:p>
        </w:tc>
        <w:tc>
          <w:tcPr>
            <w:tcW w:type="dxa" w:w="2160"/>
          </w:tcPr>
          <w:p>
            <w:r>
              <w:rPr>
                <w:rFonts w:ascii="Calibri" w:hAnsi="Calibri"/>
                <w:sz w:val="22"/>
              </w:rPr>
              <w:t>CCK, AMBP</w:t>
            </w:r>
          </w:p>
        </w:tc>
        <w:tc>
          <w:tcPr>
            <w:tcW w:type="dxa" w:w="2160"/>
          </w:tcPr>
          <w:p>
            <w:r>
              <w:rPr>
                <w:rFonts w:ascii="Calibri" w:hAnsi="Calibri"/>
                <w:sz w:val="22"/>
              </w:rPr>
              <w:t>High — direct beverage can read-through</w:t>
            </w:r>
          </w:p>
        </w:tc>
      </w:tr>
      <w:tr>
        <w:tc>
          <w:tcPr>
            <w:tcW w:type="dxa" w:w="2160"/>
          </w:tcPr>
          <w:p>
            <w:r>
              <w:rPr>
                <w:rFonts w:ascii="Calibri" w:hAnsi="Calibri"/>
                <w:sz w:val="22"/>
              </w:rPr>
              <w:t>Europe beverage can demand</w:t>
            </w:r>
          </w:p>
        </w:tc>
        <w:tc>
          <w:tcPr>
            <w:tcW w:type="dxa" w:w="2160"/>
          </w:tcPr>
          <w:p>
            <w:r>
              <w:rPr>
                <w:rFonts w:ascii="Calibri" w:hAnsi="Calibri"/>
                <w:b/>
                <w:color w:val="30A46C"/>
                <w:sz w:val="22"/>
              </w:rPr>
              <w:t>Positive</w:t>
            </w:r>
          </w:p>
        </w:tc>
        <w:tc>
          <w:tcPr>
            <w:tcW w:type="dxa" w:w="2160"/>
          </w:tcPr>
          <w:p>
            <w:r>
              <w:rPr>
                <w:rFonts w:ascii="Calibri" w:hAnsi="Calibri"/>
                <w:sz w:val="22"/>
              </w:rPr>
              <w:t>CCK, AMBP</w:t>
            </w:r>
          </w:p>
        </w:tc>
        <w:tc>
          <w:tcPr>
            <w:tcW w:type="dxa" w:w="2160"/>
          </w:tcPr>
          <w:p>
            <w:r>
              <w:rPr>
                <w:rFonts w:ascii="Calibri" w:hAnsi="Calibri"/>
                <w:sz w:val="22"/>
              </w:rPr>
              <w:t>High — "sold out" / 3% growth reaffirmed</w:t>
            </w:r>
          </w:p>
        </w:tc>
      </w:tr>
      <w:tr>
        <w:tc>
          <w:tcPr>
            <w:tcW w:type="dxa" w:w="2160"/>
          </w:tcPr>
          <w:p>
            <w:r>
              <w:rPr>
                <w:rFonts w:ascii="Calibri" w:hAnsi="Calibri"/>
                <w:sz w:val="22"/>
              </w:rPr>
              <w:t>Brazil / South America volumes (Q3)</w:t>
            </w:r>
          </w:p>
        </w:tc>
        <w:tc>
          <w:tcPr>
            <w:tcW w:type="dxa" w:w="2160"/>
          </w:tcPr>
          <w:p>
            <w:r>
              <w:rPr>
                <w:rFonts w:ascii="Calibri" w:hAnsi="Calibri"/>
                <w:b/>
                <w:color w:val="E5484D"/>
                <w:sz w:val="22"/>
              </w:rPr>
              <w:t>Cautious</w:t>
            </w:r>
          </w:p>
        </w:tc>
        <w:tc>
          <w:tcPr>
            <w:tcW w:type="dxa" w:w="2160"/>
          </w:tcPr>
          <w:p>
            <w:r>
              <w:rPr>
                <w:rFonts w:ascii="Calibri" w:hAnsi="Calibri"/>
                <w:sz w:val="22"/>
              </w:rPr>
              <w:t>AMBP</w:t>
            </w:r>
          </w:p>
        </w:tc>
        <w:tc>
          <w:tcPr>
            <w:tcW w:type="dxa" w:w="2160"/>
          </w:tcPr>
          <w:p>
            <w:r>
              <w:rPr>
                <w:rFonts w:ascii="Calibri" w:hAnsi="Calibri"/>
                <w:sz w:val="22"/>
              </w:rPr>
              <w:t>Medium — Ball's SA was strong in Apr/May; July softness is a watch item</w:t>
            </w:r>
          </w:p>
        </w:tc>
      </w:tr>
      <w:tr>
        <w:tc>
          <w:tcPr>
            <w:tcW w:type="dxa" w:w="2160"/>
          </w:tcPr>
          <w:p>
            <w:r>
              <w:rPr>
                <w:rFonts w:ascii="Calibri" w:hAnsi="Calibri"/>
                <w:sz w:val="22"/>
              </w:rPr>
              <w:t>Aluminum cost pass-through functioning</w:t>
            </w:r>
          </w:p>
        </w:tc>
        <w:tc>
          <w:tcPr>
            <w:tcW w:type="dxa" w:w="2160"/>
          </w:tcPr>
          <w:p>
            <w:r>
              <w:rPr>
                <w:rFonts w:ascii="Calibri" w:hAnsi="Calibri"/>
                <w:b/>
                <w:color w:val="30A46C"/>
                <w:sz w:val="22"/>
              </w:rPr>
              <w:t>Positive</w:t>
            </w:r>
          </w:p>
        </w:tc>
        <w:tc>
          <w:tcPr>
            <w:tcW w:type="dxa" w:w="2160"/>
          </w:tcPr>
          <w:p>
            <w:r>
              <w:rPr>
                <w:rFonts w:ascii="Calibri" w:hAnsi="Calibri"/>
                <w:sz w:val="22"/>
              </w:rPr>
              <w:t>CCK, SLGN</w:t>
            </w:r>
          </w:p>
        </w:tc>
        <w:tc>
          <w:tcPr>
            <w:tcW w:type="dxa" w:w="2160"/>
          </w:tcPr>
          <w:p>
            <w:r>
              <w:rPr>
                <w:rFonts w:ascii="Calibri" w:hAnsi="Calibri"/>
                <w:sz w:val="22"/>
              </w:rPr>
              <w:t>High — confirms Ball's revenue model is intact</w:t>
            </w:r>
          </w:p>
        </w:tc>
      </w:tr>
      <w:tr>
        <w:tc>
          <w:tcPr>
            <w:tcW w:type="dxa" w:w="2160"/>
          </w:tcPr>
          <w:p>
            <w:r>
              <w:rPr>
                <w:rFonts w:ascii="Calibri" w:hAnsi="Calibri"/>
                <w:sz w:val="22"/>
              </w:rPr>
              <w:t>H2 freight / energy cost headwinds</w:t>
            </w:r>
          </w:p>
        </w:tc>
        <w:tc>
          <w:tcPr>
            <w:tcW w:type="dxa" w:w="2160"/>
          </w:tcPr>
          <w:p>
            <w:r>
              <w:rPr>
                <w:rFonts w:ascii="Calibri" w:hAnsi="Calibri"/>
                <w:b/>
                <w:color w:val="E5484D"/>
                <w:sz w:val="22"/>
              </w:rPr>
              <w:t>Cautious</w:t>
            </w:r>
          </w:p>
        </w:tc>
        <w:tc>
          <w:tcPr>
            <w:tcW w:type="dxa" w:w="2160"/>
          </w:tcPr>
          <w:p>
            <w:r>
              <w:rPr>
                <w:rFonts w:ascii="Calibri" w:hAnsi="Calibri"/>
                <w:sz w:val="22"/>
              </w:rPr>
              <w:t>CCK, AMBP</w:t>
            </w:r>
          </w:p>
        </w:tc>
        <w:tc>
          <w:tcPr>
            <w:tcW w:type="dxa" w:w="2160"/>
          </w:tcPr>
          <w:p>
            <w:r>
              <w:rPr>
                <w:rFonts w:ascii="Calibri" w:hAnsi="Calibri"/>
                <w:sz w:val="22"/>
              </w:rPr>
              <w:t>Medium — Ball passes through most costs; timing lag is the risk</w:t>
            </w:r>
          </w:p>
        </w:tc>
      </w:tr>
      <w:tr>
        <w:tc>
          <w:tcPr>
            <w:tcW w:type="dxa" w:w="2160"/>
          </w:tcPr>
          <w:p>
            <w:r>
              <w:rPr>
                <w:rFonts w:ascii="Calibri" w:hAnsi="Calibri"/>
                <w:sz w:val="22"/>
              </w:rPr>
              <w:t>CPG promotional activity driving volume</w:t>
            </w:r>
          </w:p>
        </w:tc>
        <w:tc>
          <w:tcPr>
            <w:tcW w:type="dxa" w:w="2160"/>
          </w:tcPr>
          <w:p>
            <w:r>
              <w:rPr>
                <w:rFonts w:ascii="Calibri" w:hAnsi="Calibri"/>
                <w:b/>
                <w:color w:val="30A46C"/>
                <w:sz w:val="22"/>
              </w:rPr>
              <w:t>Positive</w:t>
            </w:r>
          </w:p>
        </w:tc>
        <w:tc>
          <w:tcPr>
            <w:tcW w:type="dxa" w:w="2160"/>
          </w:tcPr>
          <w:p>
            <w:r>
              <w:rPr>
                <w:rFonts w:ascii="Calibri" w:hAnsi="Calibri"/>
                <w:sz w:val="22"/>
              </w:rPr>
              <w:t>CCK, SLGN</w:t>
            </w:r>
          </w:p>
        </w:tc>
        <w:tc>
          <w:tcPr>
            <w:tcW w:type="dxa" w:w="2160"/>
          </w:tcPr>
          <w:p>
            <w:r>
              <w:rPr>
                <w:rFonts w:ascii="Calibri" w:hAnsi="Calibri"/>
                <w:sz w:val="22"/>
              </w:rPr>
              <w:t>Medium — supports beverage can demand broadly</w:t>
            </w:r>
          </w:p>
        </w:tc>
      </w:tr>
      <w:tr>
        <w:tc>
          <w:tcPr>
            <w:tcW w:type="dxa" w:w="2160"/>
          </w:tcPr>
          <w:p>
            <w:r>
              <w:rPr>
                <w:rFonts w:ascii="Calibri" w:hAnsi="Calibri"/>
                <w:sz w:val="22"/>
              </w:rPr>
              <w:t>Peer guidance trajectory (FY2026)</w:t>
            </w:r>
          </w:p>
        </w:tc>
        <w:tc>
          <w:tcPr>
            <w:tcW w:type="dxa" w:w="2160"/>
          </w:tcPr>
          <w:p>
            <w:r>
              <w:rPr>
                <w:rFonts w:ascii="Calibri" w:hAnsi="Calibri"/>
                <w:b/>
                <w:color w:val="30A46C"/>
                <w:sz w:val="22"/>
              </w:rPr>
              <w:t>Positive</w:t>
            </w:r>
          </w:p>
        </w:tc>
        <w:tc>
          <w:tcPr>
            <w:tcW w:type="dxa" w:w="2160"/>
          </w:tcPr>
          <w:p>
            <w:r>
              <w:rPr>
                <w:rFonts w:ascii="Calibri" w:hAnsi="Calibri"/>
                <w:sz w:val="22"/>
              </w:rPr>
              <w:t>CCK (raised), AMBP (raised), SLGN (confirmed)</w:t>
            </w:r>
          </w:p>
        </w:tc>
        <w:tc>
          <w:tcPr>
            <w:tcW w:type="dxa" w:w="2160"/>
          </w:tcPr>
          <w:p>
            <w:r>
              <w:rPr>
                <w:rFonts w:ascii="Calibri" w:hAnsi="Calibri"/>
                <w:sz w:val="22"/>
              </w:rPr>
              <w:t>Medium — supports Ball maintaining its algorithm</w:t>
            </w:r>
          </w:p>
        </w:tc>
      </w:tr>
    </w:tbl>
    <w:p>
      <w:r>
        <w:rPr>
          <w:rFonts w:ascii="Calibri" w:hAnsi="Calibri"/>
          <w:i/>
          <w:color w:val="525866"/>
          <w:sz w:val="22"/>
        </w:rPr>
        <w:t>Sources: Crown Holdings Q2 2026 Earnings Call Transcript (July 21, 2026); Ardagh Metal Packaging Q2 2026 Earnings Call Transcript (July 23, 2026); Silgan Holdings Q2 2026 Earnings Call Transcript (July 29, 2026). All commentary restricted to forward-looking statements about Q3 2026, H2 2026, and full-year 2026 outlook issued within the last 60 days.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