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9" w:name="bdx-earnings-predictions--2026-08-06"/>
    <w:p>
      <w:pPr>
        <w:pStyle w:val="Heading1"/>
      </w:pPr>
      <w:r>
        <w:t xml:space="preserve">BDX Earnings Predictions — 2026-08-06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1320"/>
        <w:gridCol w:w="1320"/>
        <w:gridCol w:w="1320"/>
        <w:gridCol w:w="1320"/>
        <w:gridCol w:w="1320"/>
        <w:gridCol w:w="132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Ticker</w:t>
            </w:r>
          </w:p>
        </w:tc>
        <w:tc>
          <w:tcPr/>
          <w:p>
            <w:pPr>
              <w:pStyle w:val="Compact"/>
            </w:pPr>
            <w:r>
              <w:t xml:space="preserve">Report or Guide</w:t>
            </w:r>
          </w:p>
        </w:tc>
        <w:tc>
          <w:tcPr/>
          <w:p>
            <w:pPr>
              <w:pStyle w:val="Compact"/>
            </w:pPr>
            <w:r>
              <w:t xml:space="preserve">KPI</w:t>
            </w:r>
          </w:p>
        </w:tc>
        <w:tc>
          <w:tcPr/>
          <w:p>
            <w:pPr>
              <w:pStyle w:val="Compact"/>
            </w:pPr>
            <w:r>
              <w:t xml:space="preserve">Prediction</w:t>
            </w:r>
          </w:p>
        </w:tc>
        <w:tc>
          <w:tcPr/>
          <w:p>
            <w:pPr>
              <w:pStyle w:val="Compact"/>
            </w:pPr>
            <w:r>
              <w:t xml:space="preserve">Answer</w:t>
            </w:r>
          </w:p>
        </w:tc>
        <w:tc>
          <w:tcPr/>
          <w:p>
            <w:pPr>
              <w:pStyle w:val="Compact"/>
            </w:pPr>
            <w:r>
              <w:t xml:space="preserve">Confidence</w:t>
            </w:r>
          </w:p>
        </w:tc>
      </w:tr>
      <w:tr>
        <w:tc>
          <w:tcPr/>
          <w:p>
            <w:pPr>
              <w:pStyle w:val="Compact"/>
            </w:pPr>
            <w:r>
              <w:t xml:space="preserve">BDX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Adjusted EPS (FQ3'26, continuing ops)</w:t>
            </w:r>
          </w:p>
        </w:tc>
        <w:tc>
          <w:tcPr/>
          <w:p>
            <w:pPr>
              <w:pStyle w:val="Compact"/>
            </w:pPr>
            <w:r>
              <w:t xml:space="preserve">BEAT</w:t>
            </w:r>
          </w:p>
        </w:tc>
        <w:tc>
          <w:tcPr/>
          <w:p>
            <w:pPr>
              <w:pStyle w:val="Compact"/>
            </w:pPr>
            <w:r>
              <w:t xml:space="preserve">pred ~$3.22 vs. cons $3.14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BDX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FX-neutral organic revenue growth</w:t>
            </w:r>
          </w:p>
        </w:tc>
        <w:tc>
          <w:tcPr/>
          <w:p>
            <w:pPr>
              <w:pStyle w:val="Compact"/>
            </w:pPr>
            <w:r>
              <w:t xml:space="preserve">IN-LINE</w:t>
            </w:r>
          </w:p>
        </w:tc>
        <w:tc>
          <w:tcPr/>
          <w:p>
            <w:pPr>
              <w:pStyle w:val="Compact"/>
            </w:pPr>
            <w:r>
              <w:t xml:space="preserve">pred ~2.7% vs. cons ~2.6%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BDX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Adjusted operating margin</w:t>
            </w:r>
          </w:p>
        </w:tc>
        <w:tc>
          <w:tcPr/>
          <w:p>
            <w:pPr>
              <w:pStyle w:val="Compact"/>
            </w:pPr>
            <w:r>
              <w:t xml:space="preserve">IN-LINE</w:t>
            </w:r>
          </w:p>
        </w:tc>
        <w:tc>
          <w:tcPr/>
          <w:p>
            <w:pPr>
              <w:pStyle w:val="Compact"/>
            </w:pPr>
            <w:r>
              <w:t xml:space="preserve">pred ~24.4% vs. cons ~24.6%</w:t>
            </w:r>
          </w:p>
        </w:tc>
        <w:tc>
          <w:tcPr/>
          <w:p>
            <w:pPr>
              <w:pStyle w:val="Compact"/>
            </w:pPr>
            <w:r>
              <w:t xml:space="preserve">LOW</w:t>
            </w:r>
          </w:p>
        </w:tc>
      </w:tr>
      <w:tr>
        <w:tc>
          <w:tcPr/>
          <w:p>
            <w:pPr>
              <w:pStyle w:val="Compact"/>
            </w:pPr>
            <w:r>
              <w:t xml:space="preserve">BDX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FY26 adjusted EPS guide</w:t>
            </w:r>
          </w:p>
        </w:tc>
        <w:tc>
          <w:tcPr/>
          <w:p>
            <w:pPr>
              <w:pStyle w:val="Compact"/>
            </w:pPr>
            <w:r>
              <w:t xml:space="preserve">UNCHANGED</w:t>
            </w:r>
          </w:p>
        </w:tc>
        <w:tc>
          <w:tcPr/>
          <w:p>
            <w:pPr>
              <w:pStyle w:val="Compact"/>
            </w:pPr>
            <w:r>
              <w:t xml:space="preserve">guide ~</w:t>
            </w:r>
            <m:oMath>
              <m:r>
                <m:t>12.52</m:t>
              </m:r>
              <m:r>
                <m:rPr>
                  <m:sty m:val="p"/>
                </m:rPr>
                <m:t>−</m:t>
              </m:r>
            </m:oMath>
            <w:r>
              <w:t xml:space="preserve">12.72 vs. cons ~$12.62 (FY26)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BDX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FY26 FX-neutral revenue growth guide</w:t>
            </w:r>
          </w:p>
        </w:tc>
        <w:tc>
          <w:tcPr/>
          <w:p>
            <w:pPr>
              <w:pStyle w:val="Compact"/>
            </w:pPr>
            <w:r>
              <w:t xml:space="preserve">UNCHANGED</w:t>
            </w:r>
          </w:p>
        </w:tc>
        <w:tc>
          <w:tcPr/>
          <w:p>
            <w:pPr>
              <w:pStyle w:val="Compact"/>
            </w:pPr>
            <w:r>
              <w:t xml:space="preserve">guide ~mid-single-digit (~3%) vs. cons ~2.6% (FY26)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BDX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Implied FQ4 EPS (from held FY guide)</w:t>
            </w:r>
          </w:p>
        </w:tc>
        <w:tc>
          <w:tcPr/>
          <w:p>
            <w:pPr>
              <w:pStyle w:val="Compact"/>
            </w:pPr>
            <w:r>
              <w:t xml:space="preserve">LOWER</w:t>
            </w:r>
          </w:p>
        </w:tc>
        <w:tc>
          <w:tcPr/>
          <w:p>
            <w:pPr>
              <w:pStyle w:val="Compact"/>
            </w:pPr>
            <w:r>
              <w:t xml:space="preserve">implied ~</w:t>
            </w:r>
            <m:oMath>
              <m:r>
                <m:t>4.00</m:t>
              </m:r>
              <m:r>
                <m:rPr>
                  <m:sty m:val="p"/>
                </m:rPr>
                <m:t>−</m:t>
              </m:r>
            </m:oMath>
            <w:r>
              <w:t xml:space="preserve">4.20 vs. cons ~$4.10 (FQ4) — back-half loaded, high bar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BDX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Initial FY27 framing (Alaris 200bps headwind, tariff/resin)</w:t>
            </w:r>
          </w:p>
        </w:tc>
        <w:tc>
          <w:tcPr/>
          <w:p>
            <w:pPr>
              <w:pStyle w:val="Compact"/>
            </w:pPr>
            <w:r>
              <w:t xml:space="preserve">UNKNOWN</w:t>
            </w:r>
          </w:p>
        </w:tc>
        <w:tc>
          <w:tcPr/>
          <w:p>
            <w:pPr>
              <w:pStyle w:val="Compact"/>
            </w:pPr>
            <w:r>
              <w:t xml:space="preserve">qualitative cautious vs. cons ~+5% EPS growth (FY27)</w:t>
            </w:r>
          </w:p>
        </w:tc>
        <w:tc>
          <w:tcPr/>
          <w:p>
            <w:pPr>
              <w:pStyle w:val="Compact"/>
            </w:pPr>
            <w:r>
              <w:t xml:space="preserve">LOW</w:t>
            </w:r>
          </w:p>
        </w:tc>
      </w:tr>
      <w:tr>
        <w:tc>
          <w:tcPr/>
          <w:p>
            <w:pPr>
              <w:pStyle w:val="Compact"/>
            </w:pPr>
            <w:r>
              <w:t xml:space="preserve">BDX</w:t>
            </w:r>
          </w:p>
        </w:tc>
        <w:tc>
          <w:tcPr/>
          <w:p>
            <w:pPr>
              <w:pStyle w:val="Compact"/>
            </w:pPr>
            <w:r>
              <w:t xml:space="preserve">Return</w:t>
            </w:r>
          </w:p>
        </w:tc>
        <w:tc>
          <w:tcPr/>
          <w:p>
            <w:pPr>
              <w:pStyle w:val="Compact"/>
            </w:pPr>
            <w:r>
              <w:t xml:space="preserve">Day-1 residual (stock − beta × S&amp;P 500)</w:t>
            </w:r>
          </w:p>
        </w:tc>
        <w:tc>
          <w:tcPr/>
          <w:p>
            <w:pPr>
              <w:pStyle w:val="Compact"/>
            </w:pPr>
            <w:r>
              <w:t xml:space="preserve">-3.5%</w:t>
            </w:r>
          </w:p>
        </w:tc>
        <w:tc>
          <w:tcPr/>
          <w:p>
            <w:pPr>
              <w:pStyle w:val="Compact"/>
            </w:pPr>
            <w:r>
              <w:t xml:space="preserve">—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BDX</w:t>
            </w:r>
          </w:p>
        </w:tc>
        <w:tc>
          <w:tcPr/>
          <w:p>
            <w:pPr>
              <w:pStyle w:val="Compact"/>
            </w:pPr>
            <w:r>
              <w:t xml:space="preserve">Return</w:t>
            </w:r>
          </w:p>
        </w:tc>
        <w:tc>
          <w:tcPr/>
          <w:p>
            <w:pPr>
              <w:pStyle w:val="Compact"/>
            </w:pPr>
            <w:r>
              <w:t xml:space="preserve">5-day cumulative residual</w:t>
            </w:r>
          </w:p>
        </w:tc>
        <w:tc>
          <w:tcPr/>
          <w:p>
            <w:pPr>
              <w:pStyle w:val="Compact"/>
            </w:pPr>
            <w:r>
              <w:t xml:space="preserve">-5.5% (FOLLOW-THROUGH)</w:t>
            </w:r>
          </w:p>
        </w:tc>
        <w:tc>
          <w:tcPr/>
          <w:p>
            <w:pPr>
              <w:pStyle w:val="Compact"/>
            </w:pPr>
            <w:r>
              <w:t xml:space="preserve">Stock rallied ~+11.6% into the print (from ~$153 to $170.69), so the bar is high and expectations are elevated. Even a modest EPS beat is likely 'sold the news' given the run-up. Crucially, the out-period math is unfavorable: holding the</w:t>
            </w:r>
            <w:r>
              <w:t xml:space="preserve"> </w:t>
            </w:r>
            <m:oMath>
              <m:r>
                <m:t>12.52</m:t>
              </m:r>
              <m:r>
                <m:rPr>
                  <m:sty m:val="p"/>
                </m:rPr>
                <m:t>−</m:t>
              </m:r>
            </m:oMath>
            <w:r>
              <w:t xml:space="preserve">12.72 FY guide off a ~</w:t>
            </w:r>
            <m:oMath>
              <m:r>
                <m:t>3.14</m:t>
              </m:r>
              <m:r>
                <m:rPr>
                  <m:sty m:val="p"/>
                </m:rPr>
                <m:t>−</m:t>
              </m:r>
            </m:oMath>
            <w:r>
              <w:t xml:space="preserve">3.22 Q3 implies a very aggressive ~</w:t>
            </w:r>
            <m:oMath>
              <m:r>
                <m:t>4.00</m:t>
              </m:r>
              <m:r>
                <m:rPr>
                  <m:sty m:val="p"/>
                </m:rPr>
                <m:t>−</m:t>
              </m:r>
            </m:oMath>
            <w:r>
              <w:t xml:space="preserve">4.20 Q4, and only ~2.6-2.7% FX-neutral growth underneath. As the Street reconciles the back-half-loaded implied Q4 and a cautious early FY27 setup (Alaris headwind stepping to ~200bps, tariff/resin inflation, hedges rolling off), estimates drift lower, driving continued negative follow-through over the week rather than a rebound.</w:t>
            </w:r>
          </w:p>
        </w:tc>
        <w:tc>
          <w:tcPr/>
          <w:p>
            <w:pPr>
              <w:pStyle w:val="Compact"/>
            </w:pPr>
            <w:r>
              <w:t xml:space="preserve">LOW</w:t>
            </w:r>
          </w:p>
        </w:tc>
      </w:tr>
    </w:tbl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2026-08-06T00:15:10Z</dcterms:created>
  <dcterms:modified xsi:type="dcterms:W3CDTF">2026-08-06T00:15:10Z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