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dx-earnings-predictions--2026-08-06"/>
    <w:p>
      <w:pPr>
        <w:pStyle w:val="Heading1"/>
      </w:pPr>
      <w:r>
        <w:t xml:space="preserve">BDX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FX-neutral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~2.8% vs. cons 2.6%.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~$3.19 vs. cons $3.14.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~25.1% vs. cons 25.0%.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12.62</m:t>
              </m:r>
              <m:r>
                <m:rPr>
                  <m:sty m:val="p"/>
                </m:rPr>
                <m:t>–</m:t>
              </m:r>
            </m:oMath>
            <w:r>
              <w:t xml:space="preserve">12.78 (midpoint ~</w:t>
            </w:r>
            <m:oMath>
              <m:r>
                <m:t>12.70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12.62 (FY2026).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FX-neutral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2.6% (FY2026).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operating-margin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~25.0% vs. cons 25.0% (FY2026).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BDX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-3.2% (FOLLOW-THROUGH)</w:t>
            </w:r>
          </w:p>
        </w:tc>
        <w:tc>
          <w:tcPr/>
          <w:p>
            <w:pPr>
              <w:pStyle w:val="Compact"/>
            </w:pPr>
            <w:r>
              <w:t xml:space="preserve">An EPS beat of ~</w:t>
            </w:r>
            <m:oMath>
              <m:r>
                <m:t>0.05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i</m:t>
              </m:r>
              <m:r>
                <m:t>s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p</m:t>
              </m:r>
              <m:r>
                <m:t>r</m:t>
              </m:r>
              <m:r>
                <m:t>i</m:t>
              </m:r>
              <m:r>
                <m:t>m</m:t>
              </m:r>
              <m:r>
                <m:t>a</m:t>
              </m:r>
              <m:r>
                <m:t>r</m:t>
              </m:r>
              <m:r>
                <m:t>i</m:t>
              </m:r>
              <m:r>
                <m:t>l</m:t>
              </m:r>
              <m:r>
                <m:t>y</m:t>
              </m:r>
              <m:r>
                <m:t>b</m:t>
              </m:r>
              <m:r>
                <m:t>y</m:t>
              </m:r>
              <m:r>
                <m:t>p</m:t>
              </m:r>
              <m:r>
                <m:t>r</m:t>
              </m:r>
              <m:r>
                <m:t>o</m:t>
              </m:r>
              <m:r>
                <m:t>d</m:t>
              </m:r>
              <m:r>
                <m:t>u</m:t>
              </m:r>
              <m:r>
                <m:t>c</m:t>
              </m:r>
              <m:r>
                <m:t>t</m:t>
              </m:r>
              <m:r>
                <m:t>i</m:t>
              </m:r>
              <m:r>
                <m:t>v</m:t>
              </m:r>
              <m:r>
                <m:t>i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a</m:t>
              </m:r>
              <m:r>
                <m:t>v</m:t>
              </m:r>
              <m:r>
                <m:t>o</m:t>
              </m:r>
              <m:r>
                <m:t>r</m:t>
              </m:r>
              <m:r>
                <m:t>a</m:t>
              </m:r>
              <m:r>
                <m:t>b</m:t>
              </m:r>
              <m:r>
                <m:t>l</m:t>
              </m:r>
              <m:r>
                <m:t>e</m:t>
              </m:r>
              <m:r>
                <m:t>t</m:t>
              </m:r>
              <m:r>
                <m:t>i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i</m:t>
              </m:r>
              <m:r>
                <m:t>n</m:t>
              </m:r>
              <m:r>
                <m:t>c</m:t>
              </m:r>
              <m:r>
                <m:t>r</m:t>
              </m:r>
              <m:r>
                <m:t>e</m:t>
              </m:r>
              <m:r>
                <m:t>a</m:t>
              </m:r>
              <m:r>
                <m:t>s</m:t>
              </m:r>
              <m:r>
                <m:t>e</m:t>
              </m:r>
              <m:r>
                <m:t>t</m:t>
              </m:r>
              <m:r>
                <m:t>o</m:t>
              </m:r>
              <m:r>
                <m:t>a</m:t>
              </m:r>
              <m:r>
                <m:t> </m:t>
              </m:r>
            </m:oMath>
            <w:r>
              <w:t xml:space="preserve">12.70 midpoint versus ~$12.62 consensus leaves substantial Q4 execution embedded. Revenue guide of ~2.5% versus ~2.6% consensus and unchanged ~25.0% margin reinforce that underlying growth and tariff-offset math have not materially improved, pulling out-period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2026-08-06T00:11:43Z</dcterms:created>
  <dcterms:modified xsi:type="dcterms:W3CDTF">2026-08-06T00:11:43Z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