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bdx-fy2026-q3-earnings-preview"/>
    <w:p>
      <w:pPr>
        <w:pStyle w:val="Heading1"/>
      </w:pPr>
      <w:r>
        <w:t xml:space="preserve">BDX FY2026 Q3 Earnings Preview</w:t>
      </w:r>
    </w:p>
    <w:p>
      <w:pPr>
        <w:pStyle w:val="BlockText"/>
      </w:pPr>
      <w:r>
        <w:rPr>
          <w:b/>
          <w:bCs/>
        </w:rPr>
        <w:t xml:space="preserve">Timing note:</w:t>
      </w:r>
      <w:r>
        <w:t xml:space="preserve"> </w:t>
      </w:r>
      <w:r>
        <w:t xml:space="preserve">The event date provided is</w:t>
      </w:r>
      <w:r>
        <w:t xml:space="preserve"> </w:t>
      </w:r>
      <w:r>
        <w:rPr>
          <w:b/>
          <w:bCs/>
        </w:rPr>
        <w:t xml:space="preserve">Thursday, August 6, 2026</w:t>
      </w:r>
      <w:r>
        <w:t xml:space="preserve">—which is</w:t>
      </w:r>
      <w:r>
        <w:t xml:space="preserve"> </w:t>
      </w:r>
      <w:r>
        <w:rPr>
          <w:b/>
          <w:bCs/>
        </w:rPr>
        <w:t xml:space="preserve">today</w:t>
      </w:r>
      <w:r>
        <w:t xml:space="preserve">, not tomorrow. This preview is written ahead of BD’s FY2026 third-quarter report and call.</w:t>
      </w:r>
    </w:p>
    <w:bookmarkStart w:id="9" w:name="bottom-line"/>
    <w:p>
      <w:pPr>
        <w:pStyle w:val="Heading2"/>
      </w:pPr>
      <w:r>
        <w:t xml:space="preserve">Bottom line</w:t>
      </w:r>
    </w:p>
    <w:p>
      <w:pPr>
        <w:pStyle w:val="FirstParagraph"/>
      </w:pPr>
      <w:r>
        <w:t xml:space="preserve">BD enters Q3 with a</w:t>
      </w:r>
      <w:r>
        <w:t xml:space="preserve"> </w:t>
      </w:r>
      <w:r>
        <w:rPr>
          <w:b/>
          <w:bCs/>
        </w:rPr>
        <w:t xml:space="preserve">constructive fundamental setup but a higher market bar</w:t>
      </w:r>
      <w:r>
        <w:t xml:space="preserve">. The company exceeded expectations in Q2, raised full-year adjusted EPS guidance, demonstrated broad strength across its growth platforms, and continued to return capital through buybacks while reducing debt. Meanwhile, the stock closed at</w:t>
      </w:r>
      <w:r>
        <w:t xml:space="preserve"> </w:t>
      </w:r>
      <w:r>
        <w:rPr>
          <w:b/>
          <w:bCs/>
        </w:rPr>
        <w:t xml:space="preserve">$170.69 on August 5</w:t>
      </w:r>
      <w:r>
        <w:t xml:space="preserve">, up roughly</w:t>
      </w:r>
      <w:r>
        <w:t xml:space="preserve"> </w:t>
      </w:r>
      <w:r>
        <w:rPr>
          <w:b/>
          <w:bCs/>
        </w:rPr>
        <w:t xml:space="preserve">17.9% since May 6</w:t>
      </w:r>
      <w:r>
        <w:t xml:space="preserve"> </w:t>
      </w:r>
      <w:r>
        <w:t xml:space="preserve">and</w:t>
      </w:r>
      <w:r>
        <w:t xml:space="preserve"> </w:t>
      </w:r>
      <w:r>
        <w:rPr>
          <w:b/>
          <w:bCs/>
        </w:rPr>
        <w:t xml:space="preserve">9.7% since July 6</w:t>
      </w:r>
      <w:r>
        <w:t xml:space="preserve">, making a simple in-line report and unchanged outlook less likely to be viewed as a clear catalyst.</w:t>
      </w:r>
    </w:p>
    <w:p>
      <w:pPr>
        <w:pStyle w:val="BodyText"/>
      </w:pPr>
      <w:r>
        <w:t xml:space="preserve">The central question is whether BD can show that the underlying portfolio is moving toward its targeted mid-single-digit growth profile despite three known drags—</w:t>
      </w:r>
      <w:r>
        <w:rPr>
          <w:b/>
          <w:bCs/>
        </w:rPr>
        <w:t xml:space="preserve">Alaris comparisons, vaccine-delivery demand, and China</w:t>
      </w:r>
      <w:r>
        <w:t xml:space="preserve">—while protecting margins from tariffs and other supply-chain costs.</w:t>
      </w:r>
    </w:p>
    <w:p>
      <w:pPr>
        <w:pStyle w:val="BodyText"/>
      </w:pPr>
      <w:r>
        <w:t xml:space="preserve">The available pre-earnings market digest indicates expectations of approximately</w:t>
      </w:r>
      <w:r>
        <w:t xml:space="preserve"> </w:t>
      </w:r>
      <w:r>
        <w:rPr>
          <w:b/>
          <w:bCs/>
        </w:rPr>
        <w:t xml:space="preserve">2.6% FX-neutral revenue growth</w:t>
      </w:r>
      <w:r>
        <w:t xml:space="preserve"> </w:t>
      </w:r>
      <w:r>
        <w:t xml:space="preserve">and</w:t>
      </w:r>
      <w:r>
        <w:t xml:space="preserve"> </w:t>
      </w:r>
      <w:r>
        <w:rPr>
          <w:b/>
          <w:bCs/>
        </w:rPr>
        <w:t xml:space="preserve">$3.14 of adjusted EPS</w:t>
      </w:r>
      <w:r>
        <w:t xml:space="preserve">. Those numbers are broadly consistent with management’s prior commentary that second-half revenue growth should resemble first-half growth.</w:t>
      </w:r>
    </w:p>
    <w:bookmarkEnd w:id="9"/>
    <w:bookmarkStart w:id="10" w:name="what-bd-needs-to-deliver"/>
    <w:p>
      <w:pPr>
        <w:pStyle w:val="Heading2"/>
      </w:pPr>
      <w:r>
        <w:t xml:space="preserve">What BD needs to deliver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 issue</w:t>
            </w:r>
          </w:p>
        </w:tc>
        <w:tc>
          <w:tcPr/>
          <w:p>
            <w:pPr>
              <w:pStyle w:val="Compact"/>
            </w:pPr>
            <w:r>
              <w:t xml:space="preserve">What investors should watch</w:t>
            </w:r>
          </w:p>
        </w:tc>
      </w:tr>
      <w:tr>
        <w:tc>
          <w:tcPr/>
          <w:p>
            <w:pPr>
              <w:pStyle w:val="Compact"/>
            </w:pPr>
            <w:r>
              <w:rPr>
                <w:b/>
                <w:bCs/>
              </w:rPr>
              <w:t xml:space="preserve">FX-neutral revenue growth</w:t>
            </w:r>
          </w:p>
        </w:tc>
        <w:tc>
          <w:tcPr/>
          <w:p>
            <w:pPr>
              <w:pStyle w:val="Compact"/>
            </w:pPr>
            <w:r>
              <w:t xml:space="preserve">Around or above the ~</w:t>
            </w:r>
            <w:r>
              <w:rPr>
                <w:b/>
                <w:bCs/>
              </w:rPr>
              <w:t xml:space="preserve">2.6%</w:t>
            </w:r>
            <w:r>
              <w:t xml:space="preserve"> </w:t>
            </w:r>
            <w:r>
              <w:t xml:space="preserve">expected rate, with evidence that the broader portfolio remains near mid-single-digit growth.</w:t>
            </w:r>
          </w:p>
        </w:tc>
      </w:tr>
      <w:tr>
        <w:tc>
          <w:tcPr/>
          <w:p>
            <w:pPr>
              <w:pStyle w:val="Compact"/>
            </w:pPr>
            <w:r>
              <w:rPr>
                <w:b/>
                <w:bCs/>
              </w:rPr>
              <w:t xml:space="preserve">Adjusted EPS</w:t>
            </w:r>
          </w:p>
        </w:tc>
        <w:tc>
          <w:tcPr/>
          <w:p>
            <w:pPr>
              <w:pStyle w:val="Compact"/>
            </w:pPr>
            <w:r>
              <w:t xml:space="preserve">Approximately</w:t>
            </w:r>
            <w:r>
              <w:t xml:space="preserve"> </w:t>
            </w:r>
            <w:r>
              <w:rPr>
                <w:b/>
                <w:bCs/>
              </w:rPr>
              <w:t xml:space="preserve">$3.14</w:t>
            </w:r>
            <w:r>
              <w:t xml:space="preserve"> </w:t>
            </w:r>
            <w:r>
              <w:t xml:space="preserve">is the key reference point.</w:t>
            </w:r>
          </w:p>
        </w:tc>
      </w:tr>
      <w:tr>
        <w:tc>
          <w:tcPr/>
          <w:p>
            <w:pPr>
              <w:pStyle w:val="Compact"/>
            </w:pPr>
            <w:r>
              <w:rPr>
                <w:b/>
                <w:bCs/>
              </w:rPr>
              <w:t xml:space="preserve">FY2026 adjusted EPS guide</w:t>
            </w:r>
          </w:p>
        </w:tc>
        <w:tc>
          <w:tcPr/>
          <w:p>
            <w:pPr>
              <w:pStyle w:val="Compact"/>
            </w:pPr>
            <w:r>
              <w:t xml:space="preserve">BD’s current range is</w:t>
            </w:r>
            <w:r>
              <w:t xml:space="preserve"> </w:t>
            </w:r>
            <m:oMath>
              <m:r>
                <m:t>12.52</m:t>
              </m:r>
              <m:r>
                <m:rPr>
                  <m:sty m:val="p"/>
                </m:rPr>
                <m:t>–</m:t>
              </m:r>
            </m:oMath>
            <w:r>
              <w:rPr>
                <w:b/>
                <w:bCs/>
              </w:rPr>
              <w:t xml:space="preserve">12.72</w:t>
            </w:r>
            <w:r>
              <w:t xml:space="preserve">. The midpoint implies a heavily weighted Q4 after first-half adjusted EPS of $5.38.</w:t>
            </w:r>
          </w:p>
        </w:tc>
      </w:tr>
      <w:tr>
        <w:tc>
          <w:tcPr/>
          <w:p>
            <w:pPr>
              <w:pStyle w:val="Compact"/>
            </w:pPr>
            <w:r>
              <w:rPr>
                <w:b/>
                <w:bCs/>
              </w:rPr>
              <w:t xml:space="preserve">Margins</w:t>
            </w:r>
          </w:p>
        </w:tc>
        <w:tc>
          <w:tcPr/>
          <w:p>
            <w:pPr>
              <w:pStyle w:val="Compact"/>
            </w:pPr>
            <w:r>
              <w:t xml:space="preserve">Confirmation that productivity and mix are offsetting tariff pressure sufficiently to support roughly</w:t>
            </w:r>
            <w:r>
              <w:t xml:space="preserve"> </w:t>
            </w:r>
            <w:r>
              <w:rPr>
                <w:b/>
                <w:bCs/>
              </w:rPr>
              <w:t xml:space="preserve">25% adjusted operating margin</w:t>
            </w:r>
            <w:r>
              <w:t xml:space="preserve"> </w:t>
            </w:r>
            <w:r>
              <w:t xml:space="preserve">for FY2026.</w:t>
            </w:r>
          </w:p>
        </w:tc>
      </w:tr>
      <w:tr>
        <w:tc>
          <w:tcPr/>
          <w:p>
            <w:pPr>
              <w:pStyle w:val="Compact"/>
            </w:pPr>
            <w:r>
              <w:rPr>
                <w:b/>
                <w:bCs/>
              </w:rPr>
              <w:t xml:space="preserve">Growth-platform execution</w:t>
            </w:r>
          </w:p>
        </w:tc>
        <w:tc>
          <w:tcPr/>
          <w:p>
            <w:pPr>
              <w:pStyle w:val="Compact"/>
            </w:pPr>
            <w:r>
              <w:t xml:space="preserve">Advanced Patient Monitoring, biologics/GLP-1 delivery, PureWick, Advanced Tissue Regeneration, peripheral vascular and pharmacy automation.</w:t>
            </w:r>
          </w:p>
        </w:tc>
      </w:tr>
      <w:tr>
        <w:tc>
          <w:tcPr/>
          <w:p>
            <w:pPr>
              <w:pStyle w:val="Compact"/>
            </w:pPr>
            <w:r>
              <w:rPr>
                <w:b/>
                <w:bCs/>
              </w:rPr>
              <w:t xml:space="preserve">Regulatory / quality update</w:t>
            </w:r>
          </w:p>
        </w:tc>
        <w:tc>
          <w:tcPr/>
          <w:p>
            <w:pPr>
              <w:pStyle w:val="Compact"/>
            </w:pPr>
            <w:r>
              <w:t xml:space="preserve">Any update on the El Paso warning letter, ChloraPrep/PurPrep shipping, Alaris remediation, and the Pyxis quality-system warning letter.</w:t>
            </w:r>
          </w:p>
        </w:tc>
      </w:tr>
    </w:tbl>
    <w:p>
      <w:pPr>
        <w:pStyle w:val="BodyText"/>
      </w:pPr>
      <w:r>
        <w:t xml:space="preserve">At the midpoint of FY2026 guidance, BD needs roughly</w:t>
      </w:r>
      <w:r>
        <w:t xml:space="preserve"> </w:t>
      </w:r>
      <w:r>
        <w:rPr>
          <w:b/>
          <w:bCs/>
        </w:rPr>
        <w:t xml:space="preserve">$7.24</w:t>
      </w:r>
      <w:r>
        <w:t xml:space="preserve"> </w:t>
      </w:r>
      <w:r>
        <w:t xml:space="preserve">of adjusted EPS in the second half. If Q3 lands at the</w:t>
      </w:r>
      <w:r>
        <w:t xml:space="preserve"> </w:t>
      </w:r>
      <m:oMath>
        <m:r>
          <m:t>3.14</m:t>
        </m:r>
        <m:r>
          <m:t>r</m:t>
        </m:r>
        <m:r>
          <m:t>e</m:t>
        </m:r>
        <m:r>
          <m:t>f</m:t>
        </m:r>
        <m:r>
          <m:t>e</m:t>
        </m:r>
        <m:r>
          <m:t>r</m:t>
        </m:r>
        <m:r>
          <m:t>e</m:t>
        </m:r>
        <m:r>
          <m:t>n</m:t>
        </m:r>
        <m:r>
          <m:t>c</m:t>
        </m:r>
        <m:r>
          <m:t>e</m:t>
        </m:r>
        <m:r>
          <m:t>p</m:t>
        </m:r>
        <m:r>
          <m:t>o</m:t>
        </m:r>
        <m:r>
          <m:t>i</m:t>
        </m:r>
        <m:r>
          <m:t>n</m:t>
        </m:r>
        <m:r>
          <m:t>t</m:t>
        </m:r>
        <m:r>
          <m:rPr>
            <m:sty m:val="p"/>
          </m:rPr>
          <m:t>,</m:t>
        </m:r>
        <m:r>
          <m:t>i</m:t>
        </m:r>
        <m:r>
          <m:t>m</m:t>
        </m:r>
        <m:r>
          <m:t>p</m:t>
        </m:r>
        <m:r>
          <m:t>l</m:t>
        </m:r>
        <m:r>
          <m:t>i</m:t>
        </m:r>
        <m:r>
          <m:t>e</m:t>
        </m:r>
        <m:r>
          <m:t>d</m:t>
        </m:r>
        <m:r>
          <m:t>Q</m:t>
        </m:r>
        <m:r>
          <m:t>4</m:t>
        </m:r>
        <m:r>
          <m:t>a</m:t>
        </m:r>
        <m:r>
          <m:t>d</m:t>
        </m:r>
        <m:r>
          <m:t>j</m:t>
        </m:r>
        <m:r>
          <m:t>u</m:t>
        </m:r>
        <m:r>
          <m:t>s</m:t>
        </m:r>
        <m:r>
          <m:t>t</m:t>
        </m:r>
        <m:r>
          <m:t>e</m:t>
        </m:r>
        <m:r>
          <m:t>d</m:t>
        </m:r>
        <m:r>
          <m:t>E</m:t>
        </m:r>
        <m:r>
          <m:t>P</m:t>
        </m:r>
        <m:r>
          <m:t>S</m:t>
        </m:r>
        <m:r>
          <m:t>i</m:t>
        </m:r>
        <m:r>
          <m:t>s</m:t>
        </m:r>
        <m:r>
          <m:t>a</m:t>
        </m:r>
        <m:r>
          <m:t>b</m:t>
        </m:r>
        <m:r>
          <m:t>o</m:t>
        </m:r>
        <m:r>
          <m:t>u</m:t>
        </m:r>
        <m:r>
          <m:t>t</m:t>
        </m:r>
        <m:r>
          <m:rPr>
            <m:sty m:val="p"/>
          </m:rPr>
          <m:t>*</m:t>
        </m:r>
        <m:r>
          <m:rPr>
            <m:sty m:val="p"/>
          </m:rPr>
          <m:t>*</m:t>
        </m:r>
      </m:oMath>
      <w:r>
        <w:t xml:space="preserve">4.10**—so commentary supporting the expected fourth-quarter ramp will matter as much as the Q3 print.</w:t>
      </w:r>
    </w:p>
    <w:bookmarkEnd w:id="10"/>
    <w:bookmarkStart w:id="11" w:name="X2146d487c184f33e57d0dc2d7ec5006e0bc08fc"/>
    <w:p>
      <w:pPr>
        <w:pStyle w:val="Heading2"/>
      </w:pPr>
      <w:r>
        <w:t xml:space="preserve">The core debate: is “New BD” gaining traction?</w:t>
      </w:r>
    </w:p>
    <w:p>
      <w:pPr>
        <w:pStyle w:val="FirstParagraph"/>
      </w:pPr>
      <w:r>
        <w:t xml:space="preserve">BD’s Q2 result supported management’s case that the post-Waters-transaction company is becoming a more focused medtech operator. Q2 revenue grew</w:t>
      </w:r>
      <w:r>
        <w:t xml:space="preserve"> </w:t>
      </w:r>
      <w:r>
        <w:rPr>
          <w:b/>
          <w:bCs/>
        </w:rPr>
        <w:t xml:space="preserve">2.6% FX-neutral</w:t>
      </w:r>
      <w:r>
        <w:t xml:space="preserve">, with management saying more than 90% of the portfolio produced mid-single-digit growth. The reported result was held back by Alaris, China, and vaccine-related demand—areas management characterized collectively as less than 10% of revenue.</w:t>
      </w:r>
    </w:p>
    <w:p>
      <w:pPr>
        <w:pStyle w:val="BodyText"/>
      </w:pPr>
      <w:r>
        <w:t xml:space="preserve">For Q3, investors will want confirmation that the favorable parts of the portfolio remain durable:</w:t>
      </w:r>
    </w:p>
    <w:p>
      <w:pPr>
        <w:pStyle w:val="Compact"/>
        <w:numPr>
          <w:ilvl w:val="0"/>
          <w:numId w:val="1001"/>
        </w:numPr>
      </w:pPr>
      <w:r>
        <w:rPr>
          <w:b/>
          <w:bCs/>
        </w:rPr>
        <w:t xml:space="preserve">Interventional</w:t>
      </w:r>
      <w:r>
        <w:t xml:space="preserve"> </w:t>
      </w:r>
      <w:r>
        <w:t xml:space="preserve">was the strongest major segment in Q2, growing</w:t>
      </w:r>
      <w:r>
        <w:t xml:space="preserve"> </w:t>
      </w:r>
      <w:r>
        <w:rPr>
          <w:b/>
          <w:bCs/>
        </w:rPr>
        <w:t xml:space="preserve">5.3% FX-neutral</w:t>
      </w:r>
      <w:r>
        <w:t xml:space="preserve">. PureWick, Surgery/Advanced Tissue Regeneration, infection prevention, peripheral vascular, and oncology are the most important contributors.</w:t>
      </w:r>
    </w:p>
    <w:p>
      <w:pPr>
        <w:pStyle w:val="Compact"/>
        <w:numPr>
          <w:ilvl w:val="0"/>
          <w:numId w:val="1001"/>
        </w:numPr>
      </w:pPr>
      <w:r>
        <w:rPr>
          <w:b/>
          <w:bCs/>
        </w:rPr>
        <w:t xml:space="preserve">Connected Care</w:t>
      </w:r>
      <w:r>
        <w:t xml:space="preserve"> </w:t>
      </w:r>
      <w:r>
        <w:t xml:space="preserve">grew</w:t>
      </w:r>
      <w:r>
        <w:t xml:space="preserve"> </w:t>
      </w:r>
      <w:r>
        <w:rPr>
          <w:b/>
          <w:bCs/>
        </w:rPr>
        <w:t xml:space="preserve">3.2% FX-neutral</w:t>
      </w:r>
      <w:r>
        <w:t xml:space="preserve">, led by</w:t>
      </w:r>
      <w:r>
        <w:t xml:space="preserve"> </w:t>
      </w:r>
      <w:r>
        <w:rPr>
          <w:b/>
          <w:bCs/>
        </w:rPr>
        <w:t xml:space="preserve">12% growth in Advanced Patient Monitoring</w:t>
      </w:r>
      <w:r>
        <w:t xml:space="preserve">. Continued HemoSphere, Smart Recovery, infusion-set, Pyxis Pro, and pharmacy-automation traction would reinforce the company’s higher-growth mix story.</w:t>
      </w:r>
    </w:p>
    <w:p>
      <w:pPr>
        <w:pStyle w:val="Compact"/>
        <w:numPr>
          <w:ilvl w:val="0"/>
          <w:numId w:val="1001"/>
        </w:numPr>
      </w:pPr>
      <w:r>
        <w:rPr>
          <w:b/>
          <w:bCs/>
        </w:rPr>
        <w:t xml:space="preserve">Medical Essentials</w:t>
      </w:r>
      <w:r>
        <w:t xml:space="preserve"> </w:t>
      </w:r>
      <w:r>
        <w:t xml:space="preserve">grew only</w:t>
      </w:r>
      <w:r>
        <w:t xml:space="preserve"> </w:t>
      </w:r>
      <w:r>
        <w:rPr>
          <w:b/>
          <w:bCs/>
        </w:rPr>
        <w:t xml:space="preserve">1.7% FX-neutral</w:t>
      </w:r>
      <w:r>
        <w:t xml:space="preserve">, with China pressure limiting otherwise solid U.S. Vascular Access Management and Vacutainer performance.</w:t>
      </w:r>
    </w:p>
    <w:p>
      <w:pPr>
        <w:pStyle w:val="Compact"/>
        <w:numPr>
          <w:ilvl w:val="0"/>
          <w:numId w:val="1001"/>
        </w:numPr>
      </w:pPr>
      <w:r>
        <w:rPr>
          <w:b/>
          <w:bCs/>
        </w:rPr>
        <w:t xml:space="preserve">BioPharma Systems</w:t>
      </w:r>
      <w:r>
        <w:t xml:space="preserve"> </w:t>
      </w:r>
      <w:r>
        <w:t xml:space="preserve">declined</w:t>
      </w:r>
      <w:r>
        <w:t xml:space="preserve"> </w:t>
      </w:r>
      <w:r>
        <w:rPr>
          <w:b/>
          <w:bCs/>
        </w:rPr>
        <w:t xml:space="preserve">1.8% FX-neutral</w:t>
      </w:r>
      <w:r>
        <w:t xml:space="preserve"> </w:t>
      </w:r>
      <w:r>
        <w:t xml:space="preserve">despite double-digit biologics and GLP-1 delivery growth, as weaker vaccine demand more than offset those gains.</w:t>
      </w:r>
    </w:p>
    <w:p>
      <w:pPr>
        <w:pStyle w:val="FirstParagraph"/>
      </w:pPr>
      <w:r>
        <w:t xml:space="preserve">BioPharma is particularly important this quarter. BD disclosed in July that the segment will report directly to CEO Tom Polen after the October retirement of Mike Garrison, emphasizing its strategic importance. Investors should look for proof that accelerating biologics and GLP-1 exposure can overcome vaccine weakness and move the segment back to sustained growth.</w:t>
      </w:r>
    </w:p>
    <w:bookmarkEnd w:id="11"/>
    <w:bookmarkStart w:id="12" w:name="Xa5563837f13ab15e9b4cb4959218e77900366aa"/>
    <w:p>
      <w:pPr>
        <w:pStyle w:val="Heading2"/>
      </w:pPr>
      <w:r>
        <w:t xml:space="preserve">Margins and tariffs: likely the most important swing factor</w:t>
      </w:r>
    </w:p>
    <w:p>
      <w:pPr>
        <w:pStyle w:val="FirstParagraph"/>
      </w:pPr>
      <w:r>
        <w:t xml:space="preserve">In Q2, adjusted gross margin declined</w:t>
      </w:r>
      <w:r>
        <w:t xml:space="preserve"> </w:t>
      </w:r>
      <w:r>
        <w:rPr>
          <w:b/>
          <w:bCs/>
        </w:rPr>
        <w:t xml:space="preserve">90 bps</w:t>
      </w:r>
      <w:r>
        <w:t xml:space="preserve"> </w:t>
      </w:r>
      <w:r>
        <w:t xml:space="preserve">and adjusted operating margin declined</w:t>
      </w:r>
      <w:r>
        <w:t xml:space="preserve"> </w:t>
      </w:r>
      <w:r>
        <w:rPr>
          <w:b/>
          <w:bCs/>
        </w:rPr>
        <w:t xml:space="preserve">110 bps</w:t>
      </w:r>
      <w:r>
        <w:t xml:space="preserve"> </w:t>
      </w:r>
      <w:r>
        <w:t xml:space="preserve">year over year. Tariffs represented a</w:t>
      </w:r>
      <w:r>
        <w:t xml:space="preserve"> </w:t>
      </w:r>
      <w:r>
        <w:rPr>
          <w:b/>
          <w:bCs/>
        </w:rPr>
        <w:t xml:space="preserve">160-bp</w:t>
      </w:r>
      <w:r>
        <w:t xml:space="preserve"> </w:t>
      </w:r>
      <w:r>
        <w:t xml:space="preserve">headwind, partly offset by productivity and mix. BD nevertheless delivered results above its own expectations.</w:t>
      </w:r>
    </w:p>
    <w:p>
      <w:pPr>
        <w:pStyle w:val="BodyText"/>
      </w:pPr>
      <w:r>
        <w:t xml:space="preserve">That makes the Q3 margin bridge critical:</w:t>
      </w:r>
    </w:p>
    <w:p>
      <w:pPr>
        <w:pStyle w:val="Compact"/>
        <w:numPr>
          <w:ilvl w:val="0"/>
          <w:numId w:val="1002"/>
        </w:numPr>
      </w:pPr>
      <w:r>
        <w:rPr>
          <w:b/>
          <w:bCs/>
        </w:rPr>
        <w:t xml:space="preserve">BD Excellence productivity:</w:t>
      </w:r>
      <w:r>
        <w:t xml:space="preserve"> </w:t>
      </w:r>
      <w:r>
        <w:t xml:space="preserve">Management cited approximately</w:t>
      </w:r>
      <w:r>
        <w:t xml:space="preserve"> </w:t>
      </w:r>
      <w:r>
        <w:rPr>
          <w:b/>
          <w:bCs/>
        </w:rPr>
        <w:t xml:space="preserve">8% productivity</w:t>
      </w:r>
      <w:r>
        <w:t xml:space="preserve"> </w:t>
      </w:r>
      <w:r>
        <w:t xml:space="preserve">in Q2 and said it had achieved a</w:t>
      </w:r>
      <w:r>
        <w:t xml:space="preserve"> </w:t>
      </w:r>
      <w:r>
        <w:rPr>
          <w:b/>
          <w:bCs/>
        </w:rPr>
        <w:t xml:space="preserve">$150 million run rate</w:t>
      </w:r>
      <w:r>
        <w:t xml:space="preserve"> </w:t>
      </w:r>
      <w:r>
        <w:t xml:space="preserve">toward its $200 million cost-out target.</w:t>
      </w:r>
    </w:p>
    <w:p>
      <w:pPr>
        <w:pStyle w:val="Compact"/>
        <w:numPr>
          <w:ilvl w:val="0"/>
          <w:numId w:val="1002"/>
        </w:numPr>
      </w:pPr>
      <w:r>
        <w:rPr>
          <w:b/>
          <w:bCs/>
        </w:rPr>
        <w:t xml:space="preserve">Tariff mitigation:</w:t>
      </w:r>
      <w:r>
        <w:t xml:space="preserve"> </w:t>
      </w:r>
      <w:r>
        <w:t xml:space="preserve">BD has cited sourcing changes, exemptions, hedging, productivity, and pricing as mitigation tools. Investors will want a fresh assessment of the net tariff burden for Q3, Q4, and FY2027.</w:t>
      </w:r>
    </w:p>
    <w:p>
      <w:pPr>
        <w:pStyle w:val="Compact"/>
        <w:numPr>
          <w:ilvl w:val="0"/>
          <w:numId w:val="1002"/>
        </w:numPr>
      </w:pPr>
      <w:r>
        <w:rPr>
          <w:b/>
          <w:bCs/>
        </w:rPr>
        <w:t xml:space="preserve">Commercial investment:</w:t>
      </w:r>
      <w:r>
        <w:t xml:space="preserve"> </w:t>
      </w:r>
      <w:r>
        <w:t xml:space="preserve">Incremental spending behind growth platforms is strategically appropriate, but it needs to translate into share gains and better growth—not merely dilute operating leverage.</w:t>
      </w:r>
    </w:p>
    <w:p>
      <w:pPr>
        <w:pStyle w:val="Compact"/>
        <w:numPr>
          <w:ilvl w:val="0"/>
          <w:numId w:val="1002"/>
        </w:numPr>
      </w:pPr>
      <w:r>
        <w:rPr>
          <w:b/>
          <w:bCs/>
        </w:rPr>
        <w:t xml:space="preserve">Mix:</w:t>
      </w:r>
      <w:r>
        <w:t xml:space="preserve"> </w:t>
      </w:r>
      <w:r>
        <w:t xml:space="preserve">Faster growth in Advanced Patient Monitoring, biologics, PureWick, tissue regeneration, and connected-care platforms should support the long-term margin narrative.</w:t>
      </w:r>
    </w:p>
    <w:p>
      <w:pPr>
        <w:pStyle w:val="FirstParagraph"/>
      </w:pPr>
      <w:r>
        <w:t xml:space="preserve">A reaffirmed 25% adjusted operating-margin target would be constructive. A guide reduction tied to tariffs, resin/oil costs, or incremental remediation spending would likely outweigh an otherwise solid revenue result.</w:t>
      </w:r>
    </w:p>
    <w:bookmarkEnd w:id="12"/>
    <w:bookmarkStart w:id="16" w:name="known-headwinds-and-risks"/>
    <w:p>
      <w:pPr>
        <w:pStyle w:val="Heading2"/>
      </w:pPr>
      <w:r>
        <w:t xml:space="preserve">Known headwinds and risks</w:t>
      </w:r>
    </w:p>
    <w:bookmarkStart w:id="13" w:name="X8e6eb9e55ddd90a3c3487cf16afeaa5f9befd79"/>
    <w:p>
      <w:pPr>
        <w:pStyle w:val="Heading3"/>
      </w:pPr>
      <w:r>
        <w:t xml:space="preserve">Alaris: execution is improving, but comparisons worsen</w:t>
      </w:r>
    </w:p>
    <w:p>
      <w:pPr>
        <w:pStyle w:val="FirstParagraph"/>
      </w:pPr>
      <w:r>
        <w:t xml:space="preserve">BD reported Alaris share gains in Q2 and said it had the largest competitive funnel in the business’s history. The problem is not underlying competitiveness; it is the comparison against a large remediation-driven upgrade cycle.</w:t>
      </w:r>
    </w:p>
    <w:p>
      <w:pPr>
        <w:pStyle w:val="BodyText"/>
      </w:pPr>
      <w:r>
        <w:t xml:space="preserve">Management has been explicit: Alaris is a roughly</w:t>
      </w:r>
      <w:r>
        <w:t xml:space="preserve"> </w:t>
      </w:r>
      <w:r>
        <w:rPr>
          <w:b/>
          <w:bCs/>
        </w:rPr>
        <w:t xml:space="preserve">100-bp FY2026 growth headwind</w:t>
      </w:r>
      <w:r>
        <w:t xml:space="preserve">, expected to become a</w:t>
      </w:r>
      <w:r>
        <w:t xml:space="preserve"> </w:t>
      </w:r>
      <w:r>
        <w:rPr>
          <w:b/>
          <w:bCs/>
        </w:rPr>
        <w:t xml:space="preserve">200-bp FY2027 headwind</w:t>
      </w:r>
      <w:r>
        <w:t xml:space="preserve"> </w:t>
      </w:r>
      <w:r>
        <w:t xml:space="preserve">before stabilizing thereafter. Investors should therefore focus on share gains, consumables pull-through, and the pace of remediation rather than expecting Alaris to drive near-term reported growth.</w:t>
      </w:r>
    </w:p>
    <w:bookmarkEnd w:id="13"/>
    <w:bookmarkStart w:id="14" w:name="china-and-vaccines"/>
    <w:p>
      <w:pPr>
        <w:pStyle w:val="Heading3"/>
      </w:pPr>
      <w:r>
        <w:t xml:space="preserve">China and vaccines</w:t>
      </w:r>
    </w:p>
    <w:p>
      <w:pPr>
        <w:pStyle w:val="FirstParagraph"/>
      </w:pPr>
      <w:r>
        <w:t xml:space="preserve">China volume-based procurement and related market dynamics remain a drag across Medical Essentials and Interventional. In BioPharma, sharply lower vaccine demand is offsetting the strong GLP-1 and biologics story. A better-than-expected Q3 would likely require either less pressure in these areas or stronger growth elsewhere.</w:t>
      </w:r>
    </w:p>
    <w:bookmarkEnd w:id="14"/>
    <w:bookmarkStart w:id="15" w:name="regulatory-and-quality-overhang"/>
    <w:p>
      <w:pPr>
        <w:pStyle w:val="Heading3"/>
      </w:pPr>
      <w:r>
        <w:t xml:space="preserve">Regulatory and quality overhang</w:t>
      </w:r>
    </w:p>
    <w:p>
      <w:pPr>
        <w:pStyle w:val="FirstParagraph"/>
      </w:pPr>
      <w:r>
        <w:t xml:space="preserve">The Q2 10-Q disclosed an FDA warning letter at BD’s El Paso facility involving ChloraPrep and PurPrep products. BD had voluntarily placed those products on U.S. shipping hold while conducting additional release testing. Management’s Q3 update should clarify whether shipments have normalized, whether costs or lost sales were material, and whether corrective actions could create a longer-tail earnings risk.</w:t>
      </w:r>
    </w:p>
    <w:p>
      <w:pPr>
        <w:pStyle w:val="BodyText"/>
      </w:pPr>
      <w:r>
        <w:t xml:space="preserve">The ongoing Alaris consent decree, the Pyxis/dispensing warning letter, product-remediation costs, and sterilization regulation also remain important—not necessarily near-term thesis breakers, but material quality-of-earnings considerations.</w:t>
      </w:r>
    </w:p>
    <w:bookmarkEnd w:id="15"/>
    <w:bookmarkEnd w:id="16"/>
    <w:bookmarkStart w:id="17" w:name="capital-allocation-and-balance-sheet"/>
    <w:p>
      <w:pPr>
        <w:pStyle w:val="Heading2"/>
      </w:pPr>
      <w:r>
        <w:t xml:space="preserve">Capital allocation and balance sheet</w:t>
      </w:r>
    </w:p>
    <w:p>
      <w:pPr>
        <w:pStyle w:val="FirstParagraph"/>
      </w:pPr>
      <w:r>
        <w:t xml:space="preserve">BD’s Q2 capital actions were aggressive: it completed a</w:t>
      </w:r>
      <w:r>
        <w:t xml:space="preserve"> </w:t>
      </w:r>
      <m:oMath>
        <m:r>
          <m:t>2.0</m:t>
        </m:r>
        <m:r>
          <m:t>b</m:t>
        </m:r>
        <m:r>
          <m:t>i</m:t>
        </m:r>
        <m:r>
          <m:t>l</m:t>
        </m:r>
        <m:r>
          <m:t>l</m:t>
        </m:r>
        <m:r>
          <m:t>i</m:t>
        </m:r>
        <m:r>
          <m:t>o</m:t>
        </m:r>
        <m:r>
          <m:t>n</m:t>
        </m:r>
        <m:r>
          <m:t>a</m:t>
        </m:r>
        <m:r>
          <m:t>c</m:t>
        </m:r>
        <m:r>
          <m:t>c</m:t>
        </m:r>
        <m:r>
          <m:t>e</m:t>
        </m:r>
        <m:r>
          <m:t>l</m:t>
        </m:r>
        <m:r>
          <m:t>e</m:t>
        </m:r>
        <m:r>
          <m:t>r</m:t>
        </m:r>
        <m:r>
          <m:t>a</m:t>
        </m:r>
        <m:r>
          <m:t>t</m:t>
        </m:r>
        <m:r>
          <m:t>e</m:t>
        </m:r>
        <m:r>
          <m:t>d</m:t>
        </m:r>
        <m:r>
          <m:t>s</m:t>
        </m:r>
        <m:r>
          <m:t>h</m:t>
        </m:r>
        <m:r>
          <m:t>a</m:t>
        </m:r>
        <m:r>
          <m:t>r</m:t>
        </m:r>
        <m:r>
          <m:t>e</m:t>
        </m:r>
        <m:r>
          <m:t>r</m:t>
        </m:r>
        <m:r>
          <m:t>e</m:t>
        </m:r>
        <m:r>
          <m:t>p</m:t>
        </m:r>
        <m:r>
          <m:t>u</m:t>
        </m:r>
        <m:r>
          <m:t>r</m:t>
        </m:r>
        <m:r>
          <m:t>c</m:t>
        </m:r>
        <m:r>
          <m:t>h</m:t>
        </m:r>
        <m:r>
          <m:t>a</m:t>
        </m:r>
        <m:r>
          <m:t>s</m:t>
        </m:r>
        <m:r>
          <m:t>e</m:t>
        </m:r>
        <m:r>
          <m:rPr>
            <m:sty m:val="p"/>
          </m:rPr>
          <m:t>*</m:t>
        </m:r>
        <m:r>
          <m:rPr>
            <m:sty m:val="p"/>
          </m:rPr>
          <m:t>*</m:t>
        </m:r>
        <m:r>
          <m:rPr>
            <m:sty m:val="p"/>
          </m:rPr>
          <m:t>,</m:t>
        </m:r>
        <m:r>
          <m:t>r</m:t>
        </m:r>
        <m:r>
          <m:t>e</m:t>
        </m:r>
        <m:r>
          <m:t>p</m:t>
        </m:r>
        <m:r>
          <m:t>u</m:t>
        </m:r>
        <m:r>
          <m:t>r</m:t>
        </m:r>
        <m:r>
          <m:t>c</m:t>
        </m:r>
        <m:r>
          <m:t>h</m:t>
        </m:r>
        <m:r>
          <m:t>a</m:t>
        </m:r>
        <m:r>
          <m:t>s</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2.25 billion</w:t>
      </w:r>
      <w:r>
        <w:t xml:space="preserve"> </w:t>
      </w:r>
      <w:r>
        <w:t xml:space="preserve">of stock year to date, and retired roughly</w:t>
      </w:r>
      <w:r>
        <w:t xml:space="preserve"> </w:t>
      </w:r>
      <w:r>
        <w:rPr>
          <w:b/>
          <w:bCs/>
        </w:rPr>
        <w:t xml:space="preserve">$2.1 billion</w:t>
      </w:r>
      <w:r>
        <w:t xml:space="preserve"> </w:t>
      </w:r>
      <w:r>
        <w:t xml:space="preserve">of debt during the quarter. Net leverage finished Q2 near</w:t>
      </w:r>
      <w:r>
        <w:t xml:space="preserve"> </w:t>
      </w:r>
      <w:r>
        <w:rPr>
          <w:b/>
          <w:bCs/>
        </w:rPr>
        <w:t xml:space="preserve">2.9x</w:t>
      </w:r>
      <w:r>
        <w:t xml:space="preserve">, versus a long-term target of</w:t>
      </w:r>
      <w:r>
        <w:t xml:space="preserve"> </w:t>
      </w:r>
      <w:r>
        <w:rPr>
          <w:b/>
          <w:bCs/>
        </w:rPr>
        <w:t xml:space="preserve">2.5x</w:t>
      </w:r>
      <w:r>
        <w:t xml:space="preserve">.</w:t>
      </w:r>
    </w:p>
    <w:p>
      <w:pPr>
        <w:pStyle w:val="BodyText"/>
      </w:pPr>
      <w:r>
        <w:t xml:space="preserve">For the call, investors should assess:</w:t>
      </w:r>
    </w:p>
    <w:p>
      <w:pPr>
        <w:pStyle w:val="Compact"/>
        <w:numPr>
          <w:ilvl w:val="0"/>
          <w:numId w:val="1003"/>
        </w:numPr>
      </w:pPr>
      <w:r>
        <w:t xml:space="preserve">Whether free-cash-flow conversion remains on track after first-half improvement;</w:t>
      </w:r>
    </w:p>
    <w:p>
      <w:pPr>
        <w:pStyle w:val="Compact"/>
        <w:numPr>
          <w:ilvl w:val="0"/>
          <w:numId w:val="1003"/>
        </w:numPr>
      </w:pPr>
      <w:r>
        <w:t xml:space="preserve">The remaining authorization and pace of repurchases;</w:t>
      </w:r>
    </w:p>
    <w:p>
      <w:pPr>
        <w:pStyle w:val="Compact"/>
        <w:numPr>
          <w:ilvl w:val="0"/>
          <w:numId w:val="1003"/>
        </w:numPr>
      </w:pPr>
      <w:r>
        <w:t xml:space="preserve">The intended balance between buybacks, dividends, deleveraging, and targeted tuck-in M&amp;A;</w:t>
      </w:r>
    </w:p>
    <w:p>
      <w:pPr>
        <w:pStyle w:val="Compact"/>
        <w:numPr>
          <w:ilvl w:val="0"/>
          <w:numId w:val="1003"/>
        </w:numPr>
      </w:pPr>
      <w:r>
        <w:t xml:space="preserve">Whether leadership continues to view the stock as materially undervalued.</w:t>
      </w:r>
    </w:p>
    <w:bookmarkEnd w:id="17"/>
    <w:bookmarkStart w:id="18" w:name="earnings-day-scorecard"/>
    <w:p>
      <w:pPr>
        <w:pStyle w:val="Heading2"/>
      </w:pPr>
      <w:r>
        <w:t xml:space="preserve">Earnings-day scorecard</w:t>
      </w:r>
    </w:p>
    <w:p>
      <w:pPr>
        <w:pStyle w:val="FirstParagraph"/>
      </w:pPr>
      <w:r>
        <w:rPr>
          <w:b/>
          <w:bCs/>
        </w:rPr>
        <w:t xml:space="preserve">Bullish outcome</w:t>
      </w:r>
    </w:p>
    <w:p>
      <w:pPr>
        <w:pStyle w:val="Compact"/>
        <w:numPr>
          <w:ilvl w:val="0"/>
          <w:numId w:val="1004"/>
        </w:numPr>
      </w:pPr>
      <w:r>
        <w:t xml:space="preserve">FX-neutral growth above ~2.6%, led by Interventional and Connected Care;</w:t>
      </w:r>
    </w:p>
    <w:p>
      <w:pPr>
        <w:pStyle w:val="Compact"/>
        <w:numPr>
          <w:ilvl w:val="0"/>
          <w:numId w:val="1004"/>
        </w:numPr>
      </w:pPr>
      <w:r>
        <w:t xml:space="preserve">BioPharma performs better than expected, with biologics/GLP-1 strength increasingly offsetting vaccines;</w:t>
      </w:r>
    </w:p>
    <w:p>
      <w:pPr>
        <w:pStyle w:val="Compact"/>
        <w:numPr>
          <w:ilvl w:val="0"/>
          <w:numId w:val="1004"/>
        </w:numPr>
      </w:pPr>
      <w:r>
        <w:t xml:space="preserve">Margin performance demonstrates tariff mitigation and productivity leverage;</w:t>
      </w:r>
    </w:p>
    <w:p>
      <w:pPr>
        <w:pStyle w:val="Compact"/>
        <w:numPr>
          <w:ilvl w:val="0"/>
          <w:numId w:val="1004"/>
        </w:numPr>
      </w:pPr>
      <w:r>
        <w:t xml:space="preserve">FY2026 guide is raised or at least reinforced with greater confidence;</w:t>
      </w:r>
    </w:p>
    <w:p>
      <w:pPr>
        <w:pStyle w:val="Compact"/>
        <w:numPr>
          <w:ilvl w:val="0"/>
          <w:numId w:val="1004"/>
        </w:numPr>
      </w:pPr>
      <w:r>
        <w:t xml:space="preserve">No incremental El Paso, Alaris, or Pyxis regulatory concern.</w:t>
      </w:r>
    </w:p>
    <w:p>
      <w:pPr>
        <w:pStyle w:val="FirstParagraph"/>
      </w:pPr>
      <w:r>
        <w:rPr>
          <w:b/>
          <w:bCs/>
        </w:rPr>
        <w:t xml:space="preserve">In-line outcome</w:t>
      </w:r>
    </w:p>
    <w:p>
      <w:pPr>
        <w:pStyle w:val="Compact"/>
        <w:numPr>
          <w:ilvl w:val="0"/>
          <w:numId w:val="1005"/>
        </w:numPr>
      </w:pPr>
      <w:r>
        <w:t xml:space="preserve">Growth remains in the 2–3% FX-neutral range;</w:t>
      </w:r>
    </w:p>
    <w:p>
      <w:pPr>
        <w:pStyle w:val="Compact"/>
        <w:numPr>
          <w:ilvl w:val="0"/>
          <w:numId w:val="1005"/>
        </w:numPr>
      </w:pPr>
      <w:r>
        <w:t xml:space="preserve">EPS meets the ~$3.14 reference point;</w:t>
      </w:r>
    </w:p>
    <w:p>
      <w:pPr>
        <w:pStyle w:val="Compact"/>
        <w:numPr>
          <w:ilvl w:val="0"/>
          <w:numId w:val="1005"/>
        </w:numPr>
      </w:pPr>
      <w:r>
        <w:t xml:space="preserve">FY2026 guidance is reiterated;</w:t>
      </w:r>
    </w:p>
    <w:p>
      <w:pPr>
        <w:pStyle w:val="Compact"/>
        <w:numPr>
          <w:ilvl w:val="0"/>
          <w:numId w:val="1005"/>
        </w:numPr>
      </w:pPr>
      <w:r>
        <w:t xml:space="preserve">Management maintains confidence in a Q4 earnings ramp but offers limited new catalyst.</w:t>
      </w:r>
    </w:p>
    <w:p>
      <w:pPr>
        <w:pStyle w:val="FirstParagraph"/>
      </w:pPr>
      <w:r>
        <w:rPr>
          <w:b/>
          <w:bCs/>
        </w:rPr>
        <w:t xml:space="preserve">Bearish outcome</w:t>
      </w:r>
    </w:p>
    <w:p>
      <w:pPr>
        <w:pStyle w:val="Compact"/>
        <w:numPr>
          <w:ilvl w:val="0"/>
          <w:numId w:val="1006"/>
        </w:numPr>
      </w:pPr>
      <w:r>
        <w:t xml:space="preserve">Growth misses because of softer BioPharma, China, or hospital capital spending;</w:t>
      </w:r>
    </w:p>
    <w:p>
      <w:pPr>
        <w:pStyle w:val="Compact"/>
        <w:numPr>
          <w:ilvl w:val="0"/>
          <w:numId w:val="1006"/>
        </w:numPr>
      </w:pPr>
      <w:r>
        <w:t xml:space="preserve">Tariff, freight, resin, or remediation costs pressure margins;</w:t>
      </w:r>
    </w:p>
    <w:p>
      <w:pPr>
        <w:pStyle w:val="Compact"/>
        <w:numPr>
          <w:ilvl w:val="0"/>
          <w:numId w:val="1006"/>
        </w:numPr>
      </w:pPr>
      <w:r>
        <w:t xml:space="preserve">The full-year EPS range is narrowed or cut;</w:t>
      </w:r>
    </w:p>
    <w:p>
      <w:pPr>
        <w:pStyle w:val="Compact"/>
        <w:numPr>
          <w:ilvl w:val="0"/>
          <w:numId w:val="1006"/>
        </w:numPr>
      </w:pPr>
      <w:r>
        <w:t xml:space="preserve">Regulatory commentary suggests the El Paso warning letter or other quality matters will have a more durable financial impact.</w:t>
      </w:r>
    </w:p>
    <w:bookmarkEnd w:id="18"/>
    <w:bookmarkStart w:id="20" w:name="takeaway"/>
    <w:p>
      <w:pPr>
        <w:pStyle w:val="Heading2"/>
      </w:pPr>
      <w:r>
        <w:t xml:space="preserve">Takeaway</w:t>
      </w:r>
    </w:p>
    <w:p>
      <w:pPr>
        <w:pStyle w:val="FirstParagraph"/>
      </w:pPr>
      <w:r>
        <w:t xml:space="preserve">BD has improved its setup since Q2: the core portfolio is growing faster than the headline rate, higher-growth platforms are gaining weight, productivity is real, and capital returns are meaningful. But with the stock already up sharply into earnings, investors likely need evidence of</w:t>
      </w:r>
      <w:r>
        <w:t xml:space="preserve"> </w:t>
      </w:r>
      <w:r>
        <w:rPr>
          <w:b/>
          <w:bCs/>
        </w:rPr>
        <w:t xml:space="preserve">broad organic acceleration, tariff-resilient margins, and confidence in the second-half guide</w:t>
      </w:r>
      <w:r>
        <w:t xml:space="preserve"> </w:t>
      </w:r>
      <w:r>
        <w:t xml:space="preserve">to support another leg higher.</w:t>
      </w:r>
    </w:p>
    <w:p>
      <w:pPr>
        <w:pStyle w:val="BodyText"/>
      </w:pPr>
      <w:r>
        <w:t xml:space="preserve">The two most important call questions are straightforward:</w:t>
      </w:r>
      <w:r>
        <w:t xml:space="preserve"> </w:t>
      </w:r>
      <w:r>
        <w:rPr>
          <w:b/>
          <w:bCs/>
        </w:rPr>
        <w:t xml:space="preserve">Can BioPharma inflect as GLP-1/biologics scale, and can BD sustain margin expansion while absorbing tariffs and managing regulatory obligations?</w:t>
      </w:r>
    </w:p>
    <w:p>
      <w:r>
        <w:pict>
          <v:rect style="width:0;height:1.5pt" o:hralign="center" o:hrstd="t" o:hr="t"/>
        </w:pict>
      </w:r>
    </w:p>
    <w:bookmarkStart w:id="19" w:name="research-basis"/>
    <w:p>
      <w:pPr>
        <w:pStyle w:val="Heading3"/>
      </w:pPr>
      <w:r>
        <w:t xml:space="preserve">Research basis</w:t>
      </w:r>
    </w:p>
    <w:p>
      <w:pPr>
        <w:pStyle w:val="Compact"/>
        <w:numPr>
          <w:ilvl w:val="0"/>
          <w:numId w:val="1007"/>
        </w:numPr>
      </w:pPr>
      <w:r>
        <w:t xml:space="preserve">BD FY2026 Q2 earnings release, May 7, 2026</w:t>
      </w:r>
    </w:p>
    <w:p>
      <w:pPr>
        <w:pStyle w:val="Compact"/>
        <w:numPr>
          <w:ilvl w:val="0"/>
          <w:numId w:val="1007"/>
        </w:numPr>
      </w:pPr>
      <w:r>
        <w:t xml:space="preserve">BD FY2026 Q2 earnings-call transcript, May 7, 2026</w:t>
      </w:r>
    </w:p>
    <w:p>
      <w:pPr>
        <w:pStyle w:val="Compact"/>
        <w:numPr>
          <w:ilvl w:val="0"/>
          <w:numId w:val="1007"/>
        </w:numPr>
      </w:pPr>
      <w:r>
        <w:t xml:space="preserve">BD FY2026 Q2 Form 10-Q and MD&amp;A</w:t>
      </w:r>
    </w:p>
    <w:p>
      <w:pPr>
        <w:pStyle w:val="Compact"/>
        <w:numPr>
          <w:ilvl w:val="0"/>
          <w:numId w:val="1007"/>
        </w:numPr>
      </w:pPr>
      <w:r>
        <w:t xml:space="preserve">BD leadership announcement, July 22, 2026</w:t>
      </w:r>
    </w:p>
    <w:p>
      <w:pPr>
        <w:pStyle w:val="Compact"/>
        <w:numPr>
          <w:ilvl w:val="0"/>
          <w:numId w:val="1007"/>
        </w:numPr>
      </w:pPr>
      <w:r>
        <w:t xml:space="preserve">BDX price history through August 5,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2026-08-06T00:11:43Z</dcterms:created>
  <dcterms:modified xsi:type="dcterms:W3CDTF">2026-08-06T00:11:43Z</dcterms:modified>
</cp:coreProperties>
</file>

<file path=docProps/custom.xml><?xml version="1.0" encoding="utf-8"?>
<Properties xmlns="http://schemas.openxmlformats.org/officeDocument/2006/custom-properties" xmlns:vt="http://schemas.openxmlformats.org/officeDocument/2006/docPropsVTypes"/>
</file>