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~+3.0% vs. cons +2.57%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~$3.25 vs. cons $3.14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Chloraprep Ship Hold Impact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minimal revenue impact; hold resolved or near-resolved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12.75</m:t>
              </m:r>
              <m:r>
                <m:rPr>
                  <m:sty m:val="p"/>
                </m:rPr>
                <m:t>−</m:t>
              </m:r>
            </m:oMath>
            <w:r>
              <w:t xml:space="preserve">12.85 midpoint vs. cons $12.62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'low single-digit' vs. cons ~2.5%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Operating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~25% vs. cons ~25%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(FADE)</w:t>
            </w:r>
          </w:p>
        </w:tc>
        <w:tc>
          <w:tcPr/>
          <w:p>
            <w:pPr>
              <w:pStyle w:val="Compact"/>
            </w:pPr>
            <w:r>
              <w:t xml:space="preserve">FADE — strong day-1 on EPS beat + raise, then partial give-back as unchanged revenue guide and Alaris Q4 headwind are re-priced; sell-side Q4 revenue estimates drift slightly lower even as FY EPS estimates rise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2026-08-08T02:01:21Z</dcterms:created>
  <dcterms:modified xsi:type="dcterms:W3CDTF">2026-08-08T02:01:21Z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