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9" w:name="bkng-earnings-predictions--2026-08-04"/>
    <w:p>
      <w:pPr>
        <w:pStyle w:val="Heading1"/>
      </w:pPr>
      <w:r>
        <w:t xml:space="preserve">BKNG Earnings Predictions — 2026-08-04</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t xml:space="preserve">Ticker</w:t>
            </w:r>
          </w:p>
        </w:tc>
        <w:tc>
          <w:tcPr/>
          <w:p>
            <w:pPr>
              <w:pStyle w:val="Compact"/>
            </w:pPr>
            <w:r>
              <w:t xml:space="preserve">Report or Guide</w:t>
            </w:r>
          </w:p>
        </w:tc>
        <w:tc>
          <w:tcPr/>
          <w:p>
            <w:pPr>
              <w:pStyle w:val="Compact"/>
            </w:pPr>
            <w:r>
              <w:t xml:space="preserve">KPI</w:t>
            </w:r>
          </w:p>
        </w:tc>
        <w:tc>
          <w:tcPr/>
          <w:p>
            <w:pPr>
              <w:pStyle w:val="Compact"/>
            </w:pPr>
            <w:r>
              <w:t xml:space="preserve">Prediction</w:t>
            </w:r>
          </w:p>
        </w:tc>
        <w:tc>
          <w:tcPr/>
          <w:p>
            <w:pPr>
              <w:pStyle w:val="Compact"/>
            </w:pPr>
            <w:r>
              <w:t xml:space="preserve">Answer</w:t>
            </w:r>
          </w:p>
        </w:tc>
        <w:tc>
          <w:tcPr/>
          <w:p>
            <w:pPr>
              <w:pStyle w:val="Compact"/>
            </w:pPr>
            <w:r>
              <w:t xml:space="preserve">Confidence</w:t>
            </w:r>
          </w:p>
        </w:tc>
      </w:tr>
      <w:tr>
        <w:tc>
          <w:tcPr/>
          <w:p>
            <w:pPr>
              <w:pStyle w:val="Compact"/>
            </w:pPr>
            <w:r>
              <w:t xml:space="preserve">BKNG</w:t>
            </w:r>
          </w:p>
        </w:tc>
        <w:tc>
          <w:tcPr/>
          <w:p>
            <w:pPr>
              <w:pStyle w:val="Compact"/>
            </w:pPr>
            <w:r>
              <w:t xml:space="preserve">Report</w:t>
            </w:r>
          </w:p>
        </w:tc>
        <w:tc>
          <w:tcPr/>
          <w:p>
            <w:pPr>
              <w:pStyle w:val="Compact"/>
            </w:pPr>
            <w:r>
              <w:t xml:space="preserve">Room nights growth (Y/Y)</w:t>
            </w:r>
          </w:p>
        </w:tc>
        <w:tc>
          <w:tcPr/>
          <w:p>
            <w:pPr>
              <w:pStyle w:val="Compact"/>
            </w:pPr>
            <w:r>
              <w:t xml:space="preserve">BEAT</w:t>
            </w:r>
          </w:p>
        </w:tc>
        <w:tc>
          <w:tcPr/>
          <w:p>
            <w:pPr>
              <w:pStyle w:val="Compact"/>
            </w:pPr>
            <w:r>
              <w:t xml:space="preserve">pred ~+6% (~328M) vs. cons ~+5% (~324M)</w:t>
            </w:r>
          </w:p>
        </w:tc>
        <w:tc>
          <w:tcPr/>
          <w:p>
            <w:pPr>
              <w:pStyle w:val="Compact"/>
            </w:pPr>
            <w:r>
              <w:t xml:space="preserve">MEDIUM</w:t>
            </w:r>
          </w:p>
        </w:tc>
      </w:tr>
      <w:tr>
        <w:tc>
          <w:tcPr/>
          <w:p>
            <w:pPr>
              <w:pStyle w:val="Compact"/>
            </w:pPr>
            <w:r>
              <w:t xml:space="preserve">BKNG</w:t>
            </w:r>
          </w:p>
        </w:tc>
        <w:tc>
          <w:tcPr/>
          <w:p>
            <w:pPr>
              <w:pStyle w:val="Compact"/>
            </w:pPr>
            <w:r>
              <w:t xml:space="preserve">Report</w:t>
            </w:r>
          </w:p>
        </w:tc>
        <w:tc>
          <w:tcPr/>
          <w:p>
            <w:pPr>
              <w:pStyle w:val="Compact"/>
            </w:pPr>
            <w:r>
              <w:t xml:space="preserve">Gross bookings growth (Y/Y)</w:t>
            </w:r>
          </w:p>
        </w:tc>
        <w:tc>
          <w:tcPr/>
          <w:p>
            <w:pPr>
              <w:pStyle w:val="Compact"/>
            </w:pPr>
            <w:r>
              <w:t xml:space="preserve">BEAT</w:t>
            </w:r>
          </w:p>
        </w:tc>
        <w:tc>
          <w:tcPr/>
          <w:p>
            <w:pPr>
              <w:pStyle w:val="Compact"/>
            </w:pPr>
            <w:r>
              <w:t xml:space="preserve">pred ~+8% (~</w:t>
            </w:r>
            <m:oMath>
              <m:r>
                <m:t>50.4</m:t>
              </m:r>
              <m:r>
                <m:t>B</m:t>
              </m:r>
              <m:r>
                <m:rPr>
                  <m:sty m:val="p"/>
                </m:rPr>
                <m:t>)</m:t>
              </m:r>
              <m:r>
                <m:t>v</m:t>
              </m:r>
              <m:r>
                <m:t>s</m:t>
              </m:r>
              <m:r>
                <m:rPr>
                  <m:sty m:val="p"/>
                </m:rPr>
                <m:t>.</m:t>
              </m:r>
              <m:r>
                <m:t>c</m:t>
              </m:r>
              <m:r>
                <m:t>o</m:t>
              </m:r>
              <m:r>
                <m:t>n</m:t>
              </m:r>
              <m:r>
                <m:t>s</m:t>
              </m:r>
              <m:r>
                <m:t> </m:t>
              </m:r>
              <m:r>
                <m:rPr>
                  <m:sty m:val="p"/>
                </m:rPr>
                <m:t>+</m:t>
              </m:r>
              <m:r>
                <m:t>6</m:t>
              </m:r>
            </m:oMath>
            <w:r>
              <w:t xml:space="preserve">49.5B)</w:t>
            </w:r>
          </w:p>
        </w:tc>
        <w:tc>
          <w:tcPr/>
          <w:p>
            <w:pPr>
              <w:pStyle w:val="Compact"/>
            </w:pPr>
            <w:r>
              <w:t xml:space="preserve">MEDIUM</w:t>
            </w:r>
          </w:p>
        </w:tc>
      </w:tr>
      <w:tr>
        <w:tc>
          <w:tcPr/>
          <w:p>
            <w:pPr>
              <w:pStyle w:val="Compact"/>
            </w:pPr>
            <w:r>
              <w:t xml:space="preserve">BKNG</w:t>
            </w:r>
          </w:p>
        </w:tc>
        <w:tc>
          <w:tcPr/>
          <w:p>
            <w:pPr>
              <w:pStyle w:val="Compact"/>
            </w:pPr>
            <w:r>
              <w:t xml:space="preserve">Report</w:t>
            </w:r>
          </w:p>
        </w:tc>
        <w:tc>
          <w:tcPr/>
          <w:p>
            <w:pPr>
              <w:pStyle w:val="Compact"/>
            </w:pPr>
            <w:r>
              <w:t xml:space="preserve">Adjusted EBITDA</w:t>
            </w:r>
          </w:p>
        </w:tc>
        <w:tc>
          <w:tcPr/>
          <w:p>
            <w:pPr>
              <w:pStyle w:val="Compact"/>
            </w:pPr>
            <w:r>
              <w:t xml:space="preserve">BEAT</w:t>
            </w:r>
          </w:p>
        </w:tc>
        <w:tc>
          <w:tcPr/>
          <w:p>
            <w:pPr>
              <w:pStyle w:val="Compact"/>
            </w:pPr>
            <w:r>
              <w:t xml:space="preserve">pred ~</w:t>
            </w:r>
            <m:oMath>
              <m:r>
                <m:t>2.52</m:t>
              </m:r>
              <m:r>
                <m:t>B</m:t>
              </m:r>
              <m:r>
                <m:rPr>
                  <m:sty m:val="p"/>
                </m:rPr>
                <m:t>(</m:t>
              </m:r>
              <m:r>
                <m:rPr>
                  <m:sty m:val="p"/>
                </m:rPr>
                <m:t>+</m:t>
              </m:r>
              <m:r>
                <m:t>7</m:t>
              </m:r>
            </m:oMath>
            <w:r>
              <w:t xml:space="preserve">2.48B (+5%)</w:t>
            </w:r>
          </w:p>
        </w:tc>
        <w:tc>
          <w:tcPr/>
          <w:p>
            <w:pPr>
              <w:pStyle w:val="Compact"/>
            </w:pPr>
            <w:r>
              <w:t xml:space="preserve">MEDIUM</w:t>
            </w:r>
          </w:p>
        </w:tc>
      </w:tr>
      <w:tr>
        <w:tc>
          <w:tcPr/>
          <w:p>
            <w:pPr>
              <w:pStyle w:val="Compact"/>
            </w:pPr>
            <w:r>
              <w:t xml:space="preserve">BKNG</w:t>
            </w:r>
          </w:p>
        </w:tc>
        <w:tc>
          <w:tcPr/>
          <w:p>
            <w:pPr>
              <w:pStyle w:val="Compact"/>
            </w:pPr>
            <w:r>
              <w:t xml:space="preserve">Guide</w:t>
            </w:r>
          </w:p>
        </w:tc>
        <w:tc>
          <w:tcPr/>
          <w:p>
            <w:pPr>
              <w:pStyle w:val="Compact"/>
            </w:pPr>
            <w:r>
              <w:t xml:space="preserve">Q3 room nights growth</w:t>
            </w:r>
          </w:p>
        </w:tc>
        <w:tc>
          <w:tcPr/>
          <w:p>
            <w:pPr>
              <w:pStyle w:val="Compact"/>
            </w:pPr>
            <w:r>
              <w:t xml:space="preserve">BETTER</w:t>
            </w:r>
          </w:p>
        </w:tc>
        <w:tc>
          <w:tcPr/>
          <w:p>
            <w:pPr>
              <w:pStyle w:val="Compact"/>
            </w:pPr>
            <w:r>
              <w:t xml:space="preserve">guide ~+6% (~342M) vs. cons ~+5% (~339M) (Q3 2026)</w:t>
            </w:r>
          </w:p>
        </w:tc>
        <w:tc>
          <w:tcPr/>
          <w:p>
            <w:pPr>
              <w:pStyle w:val="Compact"/>
            </w:pPr>
            <w:r>
              <w:t xml:space="preserve">MEDIUM</w:t>
            </w:r>
          </w:p>
        </w:tc>
      </w:tr>
      <w:tr>
        <w:tc>
          <w:tcPr/>
          <w:p>
            <w:pPr>
              <w:pStyle w:val="Compact"/>
            </w:pPr>
            <w:r>
              <w:t xml:space="preserve">BKNG</w:t>
            </w:r>
          </w:p>
        </w:tc>
        <w:tc>
          <w:tcPr/>
          <w:p>
            <w:pPr>
              <w:pStyle w:val="Compact"/>
            </w:pPr>
            <w:r>
              <w:t xml:space="preserve">Guide</w:t>
            </w:r>
          </w:p>
        </w:tc>
        <w:tc>
          <w:tcPr/>
          <w:p>
            <w:pPr>
              <w:pStyle w:val="Compact"/>
            </w:pPr>
            <w:r>
              <w:t xml:space="preserve">Q3 revenue</w:t>
            </w:r>
          </w:p>
        </w:tc>
        <w:tc>
          <w:tcPr/>
          <w:p>
            <w:pPr>
              <w:pStyle w:val="Compact"/>
            </w:pPr>
            <w:r>
              <w:t xml:space="preserve">BETTER</w:t>
            </w:r>
          </w:p>
        </w:tc>
        <w:tc>
          <w:tcPr/>
          <w:p>
            <w:pPr>
              <w:pStyle w:val="Compact"/>
            </w:pPr>
            <w:r>
              <w:t xml:space="preserve">guide ~</w:t>
            </w:r>
            <m:oMath>
              <m:r>
                <m:t>9.7</m:t>
              </m:r>
              <m:r>
                <m:t>B</m:t>
              </m:r>
              <m:r>
                <m:rPr>
                  <m:sty m:val="p"/>
                </m:rPr>
                <m:t>(</m:t>
              </m:r>
              <m:r>
                <m:rPr>
                  <m:sty m:val="p"/>
                </m:rPr>
                <m:t>+</m:t>
              </m:r>
              <m:r>
                <m:t>8</m:t>
              </m:r>
            </m:oMath>
            <w:r>
              <w:t xml:space="preserve">9.6B (+7%) (Q3 2026)</w:t>
            </w:r>
          </w:p>
        </w:tc>
        <w:tc>
          <w:tcPr/>
          <w:p>
            <w:pPr>
              <w:pStyle w:val="Compact"/>
            </w:pPr>
            <w:r>
              <w:t xml:space="preserve">LOW</w:t>
            </w:r>
          </w:p>
        </w:tc>
      </w:tr>
      <w:tr>
        <w:tc>
          <w:tcPr/>
          <w:p>
            <w:pPr>
              <w:pStyle w:val="Compact"/>
            </w:pPr>
            <w:r>
              <w:t xml:space="preserve">BKNG</w:t>
            </w:r>
          </w:p>
        </w:tc>
        <w:tc>
          <w:tcPr/>
          <w:p>
            <w:pPr>
              <w:pStyle w:val="Compact"/>
            </w:pPr>
            <w:r>
              <w:t xml:space="preserve">Guide</w:t>
            </w:r>
          </w:p>
        </w:tc>
        <w:tc>
          <w:tcPr/>
          <w:p>
            <w:pPr>
              <w:pStyle w:val="Compact"/>
            </w:pPr>
            <w:r>
              <w:t xml:space="preserve">FY2026 gross bookings growth</w:t>
            </w:r>
          </w:p>
        </w:tc>
        <w:tc>
          <w:tcPr/>
          <w:p>
            <w:pPr>
              <w:pStyle w:val="Compact"/>
            </w:pPr>
            <w:r>
              <w:t xml:space="preserve">BETTER</w:t>
            </w:r>
          </w:p>
        </w:tc>
        <w:tc>
          <w:tcPr/>
          <w:p>
            <w:pPr>
              <w:pStyle w:val="Compact"/>
            </w:pPr>
            <w:r>
              <w:t xml:space="preserve">guide ~+10% (raise low end toward LDD) vs. cons ~+9% (FY2026)</w:t>
            </w:r>
          </w:p>
        </w:tc>
        <w:tc>
          <w:tcPr/>
          <w:p>
            <w:pPr>
              <w:pStyle w:val="Compact"/>
            </w:pPr>
            <w:r>
              <w:t xml:space="preserve">LOW</w:t>
            </w:r>
          </w:p>
        </w:tc>
      </w:tr>
      <w:tr>
        <w:tc>
          <w:tcPr/>
          <w:p>
            <w:pPr>
              <w:pStyle w:val="Compact"/>
            </w:pPr>
            <w:r>
              <w:t xml:space="preserve">BKNG</w:t>
            </w:r>
          </w:p>
        </w:tc>
        <w:tc>
          <w:tcPr/>
          <w:p>
            <w:pPr>
              <w:pStyle w:val="Compact"/>
            </w:pPr>
            <w:r>
              <w:t xml:space="preserve">Guide</w:t>
            </w:r>
          </w:p>
        </w:tc>
        <w:tc>
          <w:tcPr/>
          <w:p>
            <w:pPr>
              <w:pStyle w:val="Compact"/>
            </w:pPr>
            <w:r>
              <w:t xml:space="preserve">FY2026 adjusted EPS growth</w:t>
            </w:r>
          </w:p>
        </w:tc>
        <w:tc>
          <w:tcPr/>
          <w:p>
            <w:pPr>
              <w:pStyle w:val="Compact"/>
            </w:pPr>
            <w:r>
              <w:t xml:space="preserve">BETTER</w:t>
            </w:r>
          </w:p>
        </w:tc>
        <w:tc>
          <w:tcPr/>
          <w:p>
            <w:pPr>
              <w:pStyle w:val="Compact"/>
            </w:pPr>
            <w:r>
              <w:t xml:space="preserve">guide ~+15% vs. cons ~+13% (FY2026)</w:t>
            </w:r>
          </w:p>
        </w:tc>
        <w:tc>
          <w:tcPr/>
          <w:p>
            <w:pPr>
              <w:pStyle w:val="Compact"/>
            </w:pPr>
            <w:r>
              <w:t xml:space="preserve">LOW</w:t>
            </w:r>
          </w:p>
        </w:tc>
      </w:tr>
      <w:tr>
        <w:tc>
          <w:tcPr/>
          <w:p>
            <w:pPr>
              <w:pStyle w:val="Compact"/>
            </w:pPr>
            <w:r>
              <w:t xml:space="preserve">BKNG</w:t>
            </w:r>
          </w:p>
        </w:tc>
        <w:tc>
          <w:tcPr/>
          <w:p>
            <w:pPr>
              <w:pStyle w:val="Compact"/>
            </w:pPr>
            <w:r>
              <w:t xml:space="preserve">Guide</w:t>
            </w:r>
          </w:p>
        </w:tc>
        <w:tc>
          <w:tcPr/>
          <w:p>
            <w:pPr>
              <w:pStyle w:val="Compact"/>
            </w:pPr>
            <w:r>
              <w:t xml:space="preserve">Middle East conflict drag / H2 recovery</w:t>
            </w:r>
          </w:p>
        </w:tc>
        <w:tc>
          <w:tcPr/>
          <w:p>
            <w:pPr>
              <w:pStyle w:val="Compact"/>
            </w:pPr>
            <w:r>
              <w:t xml:space="preserve">BETTER</w:t>
            </w:r>
          </w:p>
        </w:tc>
        <w:tc>
          <w:tcPr/>
          <w:p>
            <w:pPr>
              <w:pStyle w:val="Compact"/>
            </w:pPr>
            <w:r>
              <w:t xml:space="preserve">actual drag ~2pt vs. guided ~3pt; recovery starting (Q2/H2 2026)</w:t>
            </w:r>
          </w:p>
        </w:tc>
        <w:tc>
          <w:tcPr/>
          <w:p>
            <w:pPr>
              <w:pStyle w:val="Compact"/>
            </w:pPr>
            <w:r>
              <w:t xml:space="preserve">MEDIUM</w:t>
            </w:r>
          </w:p>
        </w:tc>
      </w:tr>
      <w:tr>
        <w:tc>
          <w:tcPr/>
          <w:p>
            <w:pPr>
              <w:pStyle w:val="Compact"/>
            </w:pPr>
            <w:r>
              <w:t xml:space="preserve">BKNG</w:t>
            </w:r>
          </w:p>
        </w:tc>
        <w:tc>
          <w:tcPr/>
          <w:p>
            <w:pPr>
              <w:pStyle w:val="Compact"/>
            </w:pPr>
            <w:r>
              <w:t xml:space="preserve">Return</w:t>
            </w:r>
          </w:p>
        </w:tc>
        <w:tc>
          <w:tcPr/>
          <w:p>
            <w:pPr>
              <w:pStyle w:val="Compact"/>
            </w:pPr>
            <w:r>
              <w:t xml:space="preserve">Day-1 residual (stock − beta × S&amp;P 500)</w:t>
            </w:r>
          </w:p>
        </w:tc>
        <w:tc>
          <w:tcPr/>
          <w:p>
            <w:pPr>
              <w:pStyle w:val="Compact"/>
            </w:pPr>
            <w:r>
              <w:t xml:space="preserve">+3.0%</w:t>
            </w:r>
          </w:p>
        </w:tc>
        <w:tc>
          <w:tcPr/>
          <w:p>
            <w:pPr>
              <w:pStyle w:val="Compact"/>
            </w:pPr>
            <w:r>
              <w:t xml:space="preserve">—</w:t>
            </w:r>
          </w:p>
        </w:tc>
        <w:tc>
          <w:tcPr/>
          <w:p>
            <w:pPr>
              <w:pStyle w:val="Compact"/>
            </w:pPr>
            <w:r>
              <w:t xml:space="preserve">MEDIUM</w:t>
            </w:r>
          </w:p>
        </w:tc>
      </w:tr>
      <w:tr>
        <w:tc>
          <w:tcPr/>
          <w:p>
            <w:pPr>
              <w:pStyle w:val="Compact"/>
            </w:pPr>
            <w:r>
              <w:t xml:space="preserve">BKNG</w:t>
            </w:r>
          </w:p>
        </w:tc>
        <w:tc>
          <w:tcPr/>
          <w:p>
            <w:pPr>
              <w:pStyle w:val="Compact"/>
            </w:pPr>
            <w:r>
              <w:t xml:space="preserve">Return</w:t>
            </w:r>
          </w:p>
        </w:tc>
        <w:tc>
          <w:tcPr/>
          <w:p>
            <w:pPr>
              <w:pStyle w:val="Compact"/>
            </w:pPr>
            <w:r>
              <w:t xml:space="preserve">5-day cumulative residual</w:t>
            </w:r>
          </w:p>
        </w:tc>
        <w:tc>
          <w:tcPr/>
          <w:p>
            <w:pPr>
              <w:pStyle w:val="Compact"/>
            </w:pPr>
            <w:r>
              <w:t xml:space="preserve">+1.0% (FADE)</w:t>
            </w:r>
          </w:p>
        </w:tc>
        <w:tc>
          <w:tcPr/>
          <w:p>
            <w:pPr>
              <w:pStyle w:val="Compact"/>
            </w:pPr>
            <w:r>
              <w:t xml:space="preserve">BKNG should beat the conservative 2-4% RN / 4-6% GB guide (Q1 pattern, conflict drag landing lighter at ~2pt) and nudge FY low end higher, driving a positive day-1 residual. But the stock already ran ~13% off the late-July low (</w:t>
            </w:r>
            <m:oMath>
              <m:r>
                <m:t>177</m:t>
              </m:r>
              <m:r>
                <m:rPr>
                  <m:sty m:val="p"/>
                </m:rPr>
                <m:t>−</m:t>
              </m:r>
              <m:r>
                <m:rPr>
                  <m:sty m:val="p"/>
                </m:rPr>
                <m:t>&gt;</m:t>
              </m:r>
            </m:oMath>
            <w:r>
              <w:t xml:space="preserve">201) before easing to $192.74, so much of the good news is pre-positioned and the bar is high. Out-period math caps follow-through: Q3 is the seasonally largest quarter and management will keep the guide conservative (H2 recovery only 'assumed'), FX benefit fades, and FY EPS is only modestly raised, so estimates drift rather than jump. Net: initial pop partially gives back over five days -&gt; fade.</w:t>
            </w:r>
          </w:p>
        </w:tc>
        <w:tc>
          <w:tcPr/>
          <w:p>
            <w:pPr>
              <w:pStyle w:val="Compact"/>
            </w:pPr>
            <w:r>
              <w:t xml:space="preserve">LOW</w:t>
            </w:r>
          </w:p>
        </w:tc>
      </w:tr>
    </w:tbl>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2026-08-04T01:42:11Z</dcterms:created>
  <dcterms:modified xsi:type="dcterms:W3CDTF">2026-08-04T01:42:11Z</dcterms:modified>
</cp:coreProperties>
</file>

<file path=docProps/custom.xml><?xml version="1.0" encoding="utf-8"?>
<Properties xmlns="http://schemas.openxmlformats.org/officeDocument/2006/custom-properties" xmlns:vt="http://schemas.openxmlformats.org/officeDocument/2006/docPropsVTypes"/>
</file>