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BKNG before writing the preview. Let me gather recent earnings materials, guidance, and news.Let me read the most recent (Q1 2026) earnings release and call, plus pull recent news.I have Q1 data and guidance. Now let me read the Q1 earnings call for management color and check the travel/consumer backdrop.Let me compute a few reference figures (implied Q2 targets and stock performance) before writing.# Booking Holdings (BKNG) — Q2 2026 Earnings Preview</w:t>
      </w:r>
      <w:r>
        <w:t xml:space="preserve"> </w:t>
      </w:r>
      <w:r>
        <w:rPr>
          <w:b/>
          <w:bCs/>
        </w:rPr>
        <w:t xml:space="preserve">Report date:</w:t>
      </w:r>
      <w:r>
        <w:t xml:space="preserve"> </w:t>
      </w:r>
      <w:r>
        <w:t xml:space="preserve">Tuesday, August 4, 2026 (after close) ·</w:t>
      </w:r>
      <w:r>
        <w:t xml:space="preserve"> </w:t>
      </w:r>
      <w:r>
        <w:rPr>
          <w:b/>
          <w:bCs/>
        </w:rPr>
        <w:t xml:space="preserve">Event:</w:t>
      </w:r>
      <w:r>
        <w:t xml:space="preserve"> </w:t>
      </w:r>
      <w:r>
        <w:t xml:space="preserve">Q2 2026 Earnings Call</w:t>
      </w:r>
    </w:p>
    <w:p>
      <w:r>
        <w:pict>
          <v:rect style="width:0;height:1.5pt" o:hralign="center" o:hrstd="t" o:hr="t"/>
        </w:pict>
      </w:r>
    </w:p>
    <w:bookmarkStart w:id="9" w:name="Xd53b5494ff922c7ff029f0efe2aeb9534c8789a"/>
    <w:p>
      <w:pPr>
        <w:pStyle w:val="Heading2"/>
      </w:pPr>
      <w:r>
        <w:t xml:space="preserve">The one thing that matters: the Middle East / Iran conflict</w:t>
      </w:r>
    </w:p>
    <w:p>
      <w:pPr>
        <w:pStyle w:val="FirstParagraph"/>
      </w:pPr>
      <w:r>
        <w:t xml:space="preserve">BKNG's Q2 is a referendum on a single variable — the geopolitical shock that has dominated the travel tape all year. Immediately following the onset of the conflict, the company saw an increase in cancellation rates and lower travel demand, resulting in March room night growth of just 1%, and the disruption has rippled well beyond the region itself. The impact was also felt outside the Middle East as changes in broader travel patterns appeared, particularly in transit corridors such as the one between Europe and Asia.</w:t>
      </w:r>
    </w:p>
    <w:p>
      <w:pPr>
        <w:pStyle w:val="BodyText"/>
      </w:pPr>
      <w:r>
        <w:t xml:space="preserve">Management sized the Q2 hit explicitly: approximately 3 points of headwind in the second quarter — so for room nights of 2% to 4%, you have to put 3 points on top of that to look at what growth would be without the Middle East impact. Critically, the second-quarter guidance assumed the situation continues from a direct and indirect impact perspective for the full quarter, followed by some recovery in the second half of the year.</w:t>
      </w:r>
    </w:p>
    <w:p>
      <w:pPr>
        <w:pStyle w:val="BodyText"/>
      </w:pPr>
      <w:r>
        <w:rPr>
          <w:b/>
          <w:bCs/>
        </w:rPr>
        <w:t xml:space="preserve">Why it's the crux of the print:</w:t>
      </w:r>
      <w:r>
        <w:t xml:space="preserve"> </w:t>
      </w:r>
      <w:r>
        <w:t xml:space="preserve">The macro backdrop confirms the conflict is still live and is now a broad economic force. Recent news describes a global shortage of oil triggered by the war in Iran driving up prices and big oil company profits, with gas prices averaging more than $4 for a gallon of regular — exactly the kind of jet-fuel/airfare inflation and sentiment drag BKNG flagged as an un-modeled risk. Airlines are reacting: IAG flattened its capacity growth outlook due to the Middle East conflict, with a 17% reduction in capacity on its Africa, Middle East and Asia flights in the second quarter.</w:t>
      </w:r>
    </w:p>
    <w:p>
      <w:pPr>
        <w:pStyle w:val="BodyText"/>
      </w:pPr>
      <w:r>
        <w:rPr>
          <w:b/>
          <w:bCs/>
        </w:rPr>
        <w:t xml:space="preserve">What to listen for:</w:t>
      </w:r>
      <w:r>
        <w:t xml:space="preserve"> </w:t>
      </w:r>
      <w:r>
        <w:t xml:space="preserve">(1) whether the conflict-related drag actually landed near the guided ~3 points; (2) confirmation that the assumed H2 recovery is materializing (booking-window normalization, cancellation rates); and (3) any change to the "continues through end of June" planning assumption now that the quarter is closed.</w:t>
      </w:r>
    </w:p>
    <w:p>
      <w:r>
        <w:pict>
          <v:rect style="width:0;height:1.5pt" o:hralign="center" o:hrstd="t" o:hr="t"/>
        </w:pict>
      </w:r>
    </w:p>
    <w:bookmarkEnd w:id="9"/>
    <w:bookmarkStart w:id="10" w:name="the-setup-into-the-print"/>
    <w:p>
      <w:pPr>
        <w:pStyle w:val="Heading2"/>
      </w:pPr>
      <w:r>
        <w:t xml:space="preserve">The setup into the print</w:t>
      </w:r>
    </w:p>
    <w:p>
      <w:pPr>
        <w:pStyle w:val="FirstParagraph"/>
      </w:pPr>
      <w:r>
        <w:rPr>
          <w:b/>
          <w:bCs/>
        </w:rPr>
        <w:t xml:space="preserve">Q1 2026 recap (the last data point).</w:t>
      </w:r>
      <w:r>
        <w:t xml:space="preserve"> </w:t>
      </w:r>
      <w:r>
        <w:t xml:space="preserve">BKNG beat its own guide despite the shock. Room nights grew 6% (about 8% ex-conflict), gross bookings of $53.8 billion grew 15%, revenue of</w:t>
      </w:r>
      <w:r>
        <w:t xml:space="preserve"> </w:t>
      </w:r>
      <m:oMath>
        <m:r>
          <m:t>5.5</m:t>
        </m:r>
        <m:r>
          <m:t>b</m:t>
        </m:r>
        <m:r>
          <m:t>i</m:t>
        </m:r>
        <m:r>
          <m:t>l</m:t>
        </m:r>
        <m:r>
          <m:t>l</m:t>
        </m:r>
        <m:r>
          <m:t>i</m:t>
        </m:r>
        <m:r>
          <m:t>o</m:t>
        </m:r>
        <m:r>
          <m:t>n</m:t>
        </m:r>
        <m:r>
          <m:t>g</m:t>
        </m:r>
        <m:r>
          <m:t>r</m:t>
        </m:r>
        <m:r>
          <m:t>e</m:t>
        </m:r>
        <m:r>
          <m:t>w</m:t>
        </m:r>
        <m:r>
          <m:t>16</m:t>
        </m:r>
      </m:oMath>
      <w:r>
        <w:t xml:space="preserve">1.3 billion increased 19%; adjusted EPS of $1.14 grew 14%. Excluding the Middle East impact, first-quarter growth rates would have exceeded the high end of guidance across all key metrics.</w:t>
      </w:r>
    </w:p>
    <w:p>
      <w:pPr>
        <w:pStyle w:val="BodyText"/>
      </w:pPr>
      <w:r>
        <w:rPr>
          <w:b/>
          <w:bCs/>
        </w:rPr>
        <w:t xml:space="preserve">Q2 2026 guidance to measure against: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Q2 2026 guide (Y/Y)</w:t>
            </w:r>
          </w:p>
        </w:tc>
        <w:tc>
          <w:tcPr/>
          <w:p>
            <w:pPr>
              <w:pStyle w:val="Compact"/>
            </w:pPr>
            <w:r>
              <w:t xml:space="preserve">Implied absolute*</w:t>
            </w:r>
          </w:p>
        </w:tc>
      </w:tr>
      <w:tr>
        <w:tc>
          <w:tcPr/>
          <w:p>
            <w:pPr>
              <w:pStyle w:val="Compact"/>
            </w:pPr>
            <w:r>
              <w:t xml:space="preserve">Room nights</w:t>
            </w:r>
          </w:p>
        </w:tc>
        <w:tc>
          <w:tcPr/>
          <w:p>
            <w:pPr>
              <w:pStyle w:val="Compact"/>
            </w:pPr>
            <w:r>
              <w:t xml:space="preserve">+2% to 4%</w:t>
            </w:r>
          </w:p>
        </w:tc>
        <w:tc>
          <w:tcPr/>
          <w:p>
            <w:pPr>
              <w:pStyle w:val="Compact"/>
            </w:pPr>
            <w:r>
              <w:t xml:space="preserve">~315–321M</w:t>
            </w:r>
          </w:p>
        </w:tc>
      </w:tr>
      <w:tr>
        <w:tc>
          <w:tcPr/>
          <w:p>
            <w:pPr>
              <w:pStyle w:val="Compact"/>
            </w:pPr>
            <w:r>
              <w:t xml:space="preserve">Gross bookings</w:t>
            </w:r>
          </w:p>
        </w:tc>
        <w:tc>
          <w:tcPr/>
          <w:p>
            <w:pPr>
              <w:pStyle w:val="Compact"/>
            </w:pPr>
            <w:r>
              <w:t xml:space="preserve">+4% to 6% (CC +2–4%)</w:t>
            </w:r>
          </w:p>
        </w:tc>
        <w:tc>
          <w:tcPr/>
          <w:p>
            <w:pPr>
              <w:pStyle w:val="Compact"/>
            </w:pPr>
            <w:r>
              <w:t xml:space="preserve">~$48.6–49.5B</w:t>
            </w:r>
          </w:p>
        </w:tc>
      </w:tr>
      <w:tr>
        <w:tc>
          <w:tcPr/>
          <w:p>
            <w:pPr>
              <w:pStyle w:val="Compact"/>
            </w:pPr>
            <w:r>
              <w:t xml:space="preserve">Revenue</w:t>
            </w:r>
          </w:p>
        </w:tc>
        <w:tc>
          <w:tcPr/>
          <w:p>
            <w:pPr>
              <w:pStyle w:val="Compact"/>
            </w:pPr>
            <w:r>
              <w:t xml:space="preserve">+4% to 6% (CC +2–4%)</w:t>
            </w:r>
          </w:p>
        </w:tc>
        <w:tc>
          <w:tcPr/>
          <w:p>
            <w:pPr>
              <w:pStyle w:val="Compact"/>
            </w:pPr>
            <w:r>
              <w:t xml:space="preserve">~$7.1–7.2B</w:t>
            </w:r>
          </w:p>
        </w:tc>
      </w:tr>
      <w:tr>
        <w:tc>
          <w:tcPr/>
          <w:p>
            <w:pPr>
              <w:pStyle w:val="Compact"/>
            </w:pPr>
            <w:r>
              <w:t xml:space="preserve">Adjusted EBITDA</w:t>
            </w:r>
          </w:p>
        </w:tc>
        <w:tc>
          <w:tcPr/>
          <w:p>
            <w:pPr>
              <w:pStyle w:val="Compact"/>
            </w:pPr>
            <w:r>
              <w:t xml:space="preserve">+4% to 6%</w:t>
            </w:r>
          </w:p>
        </w:tc>
        <w:tc>
          <w:tcPr/>
          <w:p>
            <w:pPr>
              <w:pStyle w:val="Compact"/>
            </w:pPr>
            <w:r>
              <w:t xml:space="preserve">—</w:t>
            </w:r>
          </w:p>
        </w:tc>
      </w:tr>
    </w:tbl>
    <w:p>
      <w:pPr>
        <w:pStyle w:val="BodyText"/>
      </w:pPr>
      <w:r>
        <w:rPr>
          <w:i/>
          <w:iCs/>
        </w:rPr>
        <w:t xml:space="preserve">*Applied to Q2 2025 actuals of 309M room nights, $46.7B gross bookings, $6.8B revenue.</w:t>
      </w:r>
      <w:r>
        <w:t xml:space="preserve"> </w:t>
      </w:r>
      <w:r>
        <w:t xml:space="preserve">Revenue guidance includes a benefit of about 2% in Q2 from FX, with the euro-dollar rate assumed at $1.16.</w:t>
      </w:r>
    </w:p>
    <w:p>
      <w:pPr>
        <w:pStyle w:val="BodyText"/>
      </w:pPr>
      <w:r>
        <w:rPr>
          <w:b/>
          <w:bCs/>
        </w:rPr>
        <w:t xml:space="preserve">Full-year framing (watch for a raise/trim):</w:t>
      </w:r>
      <w:r>
        <w:t xml:space="preserve"> </w:t>
      </w:r>
      <w:r>
        <w:t xml:space="preserve">For the full year, management guided gross bookings up high single digits to low double digits, revenue up high single digits, adjusted EBITDA to grow slightly faster than revenue with margins expanding 0–25 bps, and adjusted EPS up low to mid-teens. Notably, the high end of the ranges for gross bookings and adjusted EPS remained in line with prior expectations even after lowering the midpoint. A key debate is whether an easing conflict lets management lift the low end back toward the high end.</w:t>
      </w:r>
    </w:p>
    <w:p>
      <w:r>
        <w:pict>
          <v:rect style="width:0;height:1.5pt" o:hralign="center" o:hrstd="t" o:hr="t"/>
        </w:pict>
      </w:r>
    </w:p>
    <w:bookmarkEnd w:id="10"/>
    <w:bookmarkStart w:id="11" w:name="Xb34a9fc762693d1b434ff2d85c5807a10464749"/>
    <w:p>
      <w:pPr>
        <w:pStyle w:val="Heading2"/>
      </w:pPr>
      <w:r>
        <w:t xml:space="preserve">What's working — the bull case underneath the noise</w:t>
      </w:r>
    </w:p>
    <w:p>
      <w:pPr>
        <w:pStyle w:val="FirstParagraph"/>
      </w:pPr>
      <w:r>
        <w:rPr>
          <w:b/>
          <w:bCs/>
        </w:rPr>
        <w:t xml:space="preserve">1. U.S. acceleration.</w:t>
      </w:r>
      <w:r>
        <w:t xml:space="preserve"> </w:t>
      </w:r>
      <w:r>
        <w:t xml:space="preserve">This is the standout structural story. U.S. room night growth accelerated for the fourth consecutive quarter to the low teens, driven primarily by strong domestic demand, with double-digit growth in the direct channel at Booking.com. Management framed this as genuine share gain: any third-party measure of total U.S. accommodations growth was far below low teens, so BKNG is taking share by building a better product. Watch whether the streak extends to a fifth quarter.</w:t>
      </w:r>
    </w:p>
    <w:p>
      <w:pPr>
        <w:pStyle w:val="BodyText"/>
      </w:pPr>
      <w:r>
        <w:rPr>
          <w:b/>
          <w:bCs/>
        </w:rPr>
        <w:t xml:space="preserve">2. Asia momentum + intra-regional resilience.</w:t>
      </w:r>
      <w:r>
        <w:t xml:space="preserve"> </w:t>
      </w:r>
      <w:r>
        <w:t xml:space="preserve">Within Asia, intra-regional demand from Asian bookers was up low double digits, and within Europe, intra-regional demand was up high single digits. Management's core message: outside the Middle East-impacted areas, travel markets globally have remained very healthy — they don't see customers globally being cautious.</w:t>
      </w:r>
    </w:p>
    <w:p>
      <w:pPr>
        <w:pStyle w:val="BodyText"/>
      </w:pPr>
      <w:r>
        <w:rPr>
          <w:b/>
          <w:bCs/>
        </w:rPr>
        <w:t xml:space="preserve">3. Low-end consumer improving.</w:t>
      </w:r>
      <w:r>
        <w:t xml:space="preserve"> </w:t>
      </w:r>
      <w:r>
        <w:t xml:space="preserve">A subtle but important shift. The high end remains strong, and encouragingly the lower-end segment is improving — the booking window is now stable and ADRs are flat, a change after being down for many quarters, though trips are still slightly shorter.</w:t>
      </w:r>
    </w:p>
    <w:p>
      <w:pPr>
        <w:pStyle w:val="BodyText"/>
      </w:pPr>
      <w:r>
        <w:rPr>
          <w:b/>
          <w:bCs/>
        </w:rPr>
        <w:t xml:space="preserve">4. Connected Trip &amp; Genius flywheel.</w:t>
      </w:r>
      <w:r>
        <w:t xml:space="preserve"> </w:t>
      </w:r>
      <w:r>
        <w:t xml:space="preserve">Connected-trip transactions grew in the high teens — about 3x faster than Booking.com's total transaction growth — and represented a low-double-digit percentage of Booking.com's total transactions. Alongside this, Level 2 and Level 3 Genius members represented over 30% of the active base and accounted for a high-50% share of room nights, up year over year, and management flagged plans to strengthen Genius further this year. Other verticals are compounding: airline tickets increased 28% and attractions tickets increased about 25% year over year.</w:t>
      </w:r>
    </w:p>
    <w:p>
      <w:pPr>
        <w:pStyle w:val="BodyText"/>
      </w:pPr>
      <w:r>
        <w:rPr>
          <w:b/>
          <w:bCs/>
        </w:rPr>
        <w:t xml:space="preserve">5. Margin/cost discipline.</w:t>
      </w:r>
      <w:r>
        <w:t xml:space="preserve"> </w:t>
      </w:r>
      <w:r>
        <w:t xml:space="preserve">Management remains on track to deliver</w:t>
      </w:r>
      <w:r>
        <w:t xml:space="preserve"> </w:t>
      </w:r>
      <m:oMath>
        <m:r>
          <m:t>500</m:t>
        </m:r>
        <m:r>
          <m:rPr>
            <m:sty m:val="p"/>
          </m:rPr>
          <m:t>–</m:t>
        </m:r>
      </m:oMath>
      <w:r>
        <w:t xml:space="preserve">550 million of in-year transformation savings for 2026, and has begun executing targeted cost actions — strictly managing discretionary spend and recalibrating BAU hiring — while protecting strategic investment spend.</w:t>
      </w:r>
    </w:p>
    <w:p>
      <w:r>
        <w:pict>
          <v:rect style="width:0;height:1.5pt" o:hralign="center" o:hrstd="t" o:hr="t"/>
        </w:pict>
      </w:r>
    </w:p>
    <w:bookmarkEnd w:id="11"/>
    <w:bookmarkStart w:id="12" w:name="X11b1ead70a63ce5872a55b57f8c336f87bfd7eb"/>
    <w:p>
      <w:pPr>
        <w:pStyle w:val="Heading2"/>
      </w:pPr>
      <w:r>
        <w:t xml:space="preserve">The AI question (the long-term overhang and opportunity)</w:t>
      </w:r>
    </w:p>
    <w:p>
      <w:pPr>
        <w:pStyle w:val="FirstParagraph"/>
      </w:pPr>
      <w:r>
        <w:t xml:space="preserve">This is where the multiple debate now lives, especially as the broader tape rewards AI winners and punishes anything perceived as AI-disrupted. Management is leaning hard into an "AI is a net positive" narrative. Glenn Fogel argued AI is an absolute positive, not a negative — a view he acknowledged some had misunderstood as a threat. The strategic hedge is a set of frontier-lab partnerships: relationships with OpenAI, Google, Anthropic and Amazon position the company to capture demand as travelers increasingly begin trip discovery inside large language models.</w:t>
      </w:r>
    </w:p>
    <w:p>
      <w:pPr>
        <w:pStyle w:val="BodyText"/>
      </w:pPr>
      <w:r>
        <w:t xml:space="preserve">On product, Priceline's "Penny" assistant is showing a noticeable conversion uplift versus non-Penny users in early, small-sample testing, and now supports direct booking of accommodations and flights — a step many standalone AI travel-planning tools cannot yet make. The strategic logic management keeps returning to: moving as fast as possible so direct customers get an in-house experience at least as good as a generic horizontal agent, which they frame as the key to expanding (not just protecting) the direct channel.</w:t>
      </w:r>
    </w:p>
    <w:p>
      <w:pPr>
        <w:pStyle w:val="BodyText"/>
      </w:pPr>
      <w:r>
        <w:rPr>
          <w:b/>
          <w:bCs/>
        </w:rPr>
        <w:t xml:space="preserve">What to press on:</w:t>
      </w:r>
      <w:r>
        <w:t xml:space="preserve"> </w:t>
      </w:r>
      <w:r>
        <w:t xml:space="preserve">agentic-commerce economics, whether frontier labs move toward a performance-marketing model (which BKNG frames as favorable), and any hard KPIs beyond "small sample" conversion anecdotes.</w:t>
      </w:r>
    </w:p>
    <w:p>
      <w:r>
        <w:pict>
          <v:rect style="width:0;height:1.5pt" o:hralign="center" o:hrstd="t" o:hr="t"/>
        </w:pict>
      </w:r>
    </w:p>
    <w:bookmarkEnd w:id="12"/>
    <w:bookmarkStart w:id="13" w:name="capital-return"/>
    <w:p>
      <w:pPr>
        <w:pStyle w:val="Heading2"/>
      </w:pPr>
      <w:r>
        <w:t xml:space="preserve">Capital return</w:t>
      </w:r>
    </w:p>
    <w:p>
      <w:pPr>
        <w:pStyle w:val="FirstParagraph"/>
      </w:pPr>
      <w:r>
        <w:t xml:space="preserve">BKNG remains an aggressive buyer of its own stock. Q1 saw a record $3.6 billion in share repurchases — the highest quarterly buyback in company history. Longer term, the company has reduced its share count by over 40% since 2014, at an average price of $93 per share (pre-split basis). Note the housekeeping item that affects all per-share optics: on April 2, 2026, the company effected a 25-for-1 stock split, with all share and per-share information retroactively adjusted. The Q2 dividend was set at</w:t>
      </w:r>
      <w:r>
        <w:t xml:space="preserve"> </w:t>
      </w:r>
      <m:oMath>
        <m:r>
          <m:t>0.42</m:t>
        </m:r>
        <m:r>
          <m:rPr>
            <m:sty m:val="p"/>
          </m:rPr>
          <m:t>/</m:t>
        </m:r>
        <m:r>
          <m:t>s</m:t>
        </m:r>
        <m:r>
          <m:t>h</m:t>
        </m:r>
        <m:r>
          <m:t>a</m:t>
        </m:r>
        <m:r>
          <m:t>r</m:t>
        </m:r>
        <m:r>
          <m:t>e</m:t>
        </m:r>
        <m:r>
          <m:rPr>
            <m:sty m:val="p"/>
          </m:rPr>
          <m:t>.</m:t>
        </m:r>
        <m:r>
          <m:t>W</m:t>
        </m:r>
        <m:r>
          <m:t>a</m:t>
        </m:r>
        <m:r>
          <m:t>t</m:t>
        </m:r>
        <m:r>
          <m:t>c</m:t>
        </m:r>
        <m:r>
          <m:t>h</m:t>
        </m:r>
        <m:r>
          <m:t>t</m:t>
        </m:r>
        <m:r>
          <m:t>h</m:t>
        </m:r>
        <m:r>
          <m:t>e</m:t>
        </m:r>
        <m:r>
          <m:t>p</m:t>
        </m:r>
        <m:r>
          <m:t>a</m:t>
        </m:r>
        <m:r>
          <m:t>c</m:t>
        </m:r>
        <m:r>
          <m:t>e</m:t>
        </m:r>
        <m:r>
          <m:t>o</m:t>
        </m:r>
        <m:r>
          <m:t>f</m:t>
        </m:r>
        <m:r>
          <m:t>b</m:t>
        </m:r>
        <m:r>
          <m:t>u</m:t>
        </m:r>
        <m:r>
          <m:t>y</m:t>
        </m:r>
        <m:r>
          <m:t>b</m:t>
        </m:r>
        <m:r>
          <m:t>a</m:t>
        </m:r>
        <m:r>
          <m:t>c</m:t>
        </m:r>
        <m:r>
          <m:t>k</m:t>
        </m:r>
        <m:r>
          <m:t>s</m:t>
        </m:r>
        <m:r>
          <m:t>g</m:t>
        </m:r>
        <m:r>
          <m:t>i</m:t>
        </m:r>
        <m:r>
          <m:t>v</m:t>
        </m:r>
        <m:r>
          <m:t>e</m:t>
        </m:r>
        <m:r>
          <m:t>n</m:t>
        </m:r>
        <m:r>
          <m:t> </m:t>
        </m:r>
      </m:oMath>
      <w:r>
        <w:t xml:space="preserve">18B of remaining authorization and management's stated willingness to lean in during dislocations.</w:t>
      </w:r>
    </w:p>
    <w:p>
      <w:r>
        <w:pict>
          <v:rect style="width:0;height:1.5pt" o:hralign="center" o:hrstd="t" o:hr="t"/>
        </w:pict>
      </w:r>
    </w:p>
    <w:bookmarkEnd w:id="13"/>
    <w:bookmarkStart w:id="14" w:name="price-action--positioning"/>
    <w:p>
      <w:pPr>
        <w:pStyle w:val="Heading2"/>
      </w:pPr>
      <w:r>
        <w:t xml:space="preserve">Price action &amp; positioning</w:t>
      </w:r>
    </w:p>
    <w:p>
      <w:pPr>
        <w:pStyle w:val="FirstParagraph"/>
      </w:pPr>
      <w:r>
        <w:t xml:space="preserve">Reflecting the 25-for-1 split, BKNG closed at **</w:t>
      </w:r>
      <m:oMath>
        <m:r>
          <m:t>192.74</m:t>
        </m:r>
        <m:r>
          <m:t>o</m:t>
        </m:r>
        <m:r>
          <m:t>n</m:t>
        </m:r>
        <m:r>
          <m:t>A</m:t>
        </m:r>
        <m:r>
          <m:t>u</m:t>
        </m:r>
        <m:r>
          <m:t>g</m:t>
        </m:r>
        <m:r>
          <m:t>3</m:t>
        </m:r>
        <m:r>
          <m:rPr>
            <m:sty m:val="p"/>
          </m:rPr>
          <m:t>*</m:t>
        </m:r>
        <m:r>
          <m:rPr>
            <m:sty m:val="p"/>
          </m:rPr>
          <m:t>*</m:t>
        </m:r>
        <m:r>
          <m:rPr>
            <m:sty m:val="p"/>
          </m:rPr>
          <m:t>,</m:t>
        </m:r>
        <m:r>
          <m:t>r</m:t>
        </m:r>
        <m:r>
          <m:t>o</m:t>
        </m:r>
        <m:r>
          <m:t>u</m:t>
        </m:r>
        <m:r>
          <m:t>g</m:t>
        </m:r>
        <m:r>
          <m:t>h</m:t>
        </m:r>
        <m:r>
          <m:t>l</m:t>
        </m:r>
        <m:r>
          <m:t>y</m:t>
        </m:r>
        <m:r>
          <m:rPr>
            <m:sty m:val="p"/>
          </m:rPr>
          <m:t>*</m:t>
        </m:r>
        <m:r>
          <m:rPr>
            <m:sty m:val="p"/>
          </m:rPr>
          <m:t>*</m:t>
        </m:r>
        <m:r>
          <m:t>6</m:t>
        </m:r>
      </m:oMath>
      <w:r>
        <w:t xml:space="preserve">205 but</w:t>
      </w:r>
      <w:r>
        <w:t xml:space="preserve"> </w:t>
      </w:r>
      <w:r>
        <w:rPr>
          <w:b/>
          <w:bCs/>
        </w:rPr>
        <w:t xml:space="preserve">~25% above</w:t>
      </w:r>
      <w:r>
        <w:t xml:space="preserve"> </w:t>
      </w:r>
      <w:r>
        <w:t xml:space="preserve">its mid-May trough near</w:t>
      </w:r>
      <w:r>
        <w:t xml:space="preserve"> </w:t>
      </w:r>
      <m:oMath>
        <m:r>
          <m:t>154</m:t>
        </m:r>
        <m:r>
          <m:rPr>
            <m:sty m:val="p"/>
          </m:rPr>
          <m:t>.</m:t>
        </m:r>
        <m:r>
          <m:t>T</m:t>
        </m:r>
        <m:r>
          <m:t>h</m:t>
        </m:r>
        <m:r>
          <m:t>e</m:t>
        </m:r>
        <m:r>
          <m:t>s</m:t>
        </m:r>
        <m:r>
          <m:t>t</m:t>
        </m:r>
        <m:r>
          <m:t>o</m:t>
        </m:r>
        <m:r>
          <m:t>c</m:t>
        </m:r>
        <m:r>
          <m:t>k</m:t>
        </m:r>
        <m:r>
          <m:t>h</m:t>
        </m:r>
        <m:r>
          <m:t>a</m:t>
        </m:r>
        <m:r>
          <m:t>s</m:t>
        </m:r>
        <m:r>
          <m:t>r</m:t>
        </m:r>
        <m:r>
          <m:t>a</m:t>
        </m:r>
        <m:r>
          <m:t>l</m:t>
        </m:r>
        <m:r>
          <m:t>l</m:t>
        </m:r>
        <m:r>
          <m:t>i</m:t>
        </m:r>
        <m:r>
          <m:t>e</m:t>
        </m:r>
        <m:r>
          <m:t>d</m:t>
        </m:r>
        <m:r>
          <m:t>s</m:t>
        </m:r>
        <m:r>
          <m:t>h</m:t>
        </m:r>
        <m:r>
          <m:t>a</m:t>
        </m:r>
        <m:r>
          <m:t>r</m:t>
        </m:r>
        <m:r>
          <m:t>p</m:t>
        </m:r>
        <m:r>
          <m:t>l</m:t>
        </m:r>
        <m:r>
          <m:t>y</m:t>
        </m:r>
        <m:r>
          <m:t>i</m:t>
        </m:r>
        <m:r>
          <m:t>n</m:t>
        </m:r>
        <m:r>
          <m:t>t</m:t>
        </m:r>
        <m:r>
          <m:t>o</m:t>
        </m:r>
        <m:r>
          <m:t>t</m:t>
        </m:r>
        <m:r>
          <m:t>h</m:t>
        </m:r>
        <m:r>
          <m:t>e</m:t>
        </m:r>
        <m:r>
          <m:t>p</m:t>
        </m:r>
        <m:r>
          <m:t>r</m:t>
        </m:r>
        <m:r>
          <m:t>i</m:t>
        </m:r>
        <m:r>
          <m:t>n</m:t>
        </m:r>
        <m:r>
          <m:t>t</m:t>
        </m:r>
        <m:r>
          <m:rPr>
            <m:sty m:val="p"/>
          </m:rPr>
          <m:t>—</m:t>
        </m:r>
        <m:r>
          <m:t>j</m:t>
        </m:r>
        <m:r>
          <m:t>u</m:t>
        </m:r>
        <m:r>
          <m:t>m</m:t>
        </m:r>
        <m:r>
          <m:t>p</m:t>
        </m:r>
        <m:r>
          <m:t>i</m:t>
        </m:r>
        <m:r>
          <m:t>n</m:t>
        </m:r>
        <m:r>
          <m:t>g</m:t>
        </m:r>
        <m:r>
          <m:t>f</m:t>
        </m:r>
        <m:r>
          <m:t>r</m:t>
        </m:r>
        <m:r>
          <m:t>o</m:t>
        </m:r>
        <m:r>
          <m:t>m</m:t>
        </m:r>
        <m:r>
          <m:t> </m:t>
        </m:r>
      </m:oMath>
      <w:r>
        <w:t xml:space="preserve">177 (Jul 24) to a peak near $201 (Jul 29) before easing — so expectations have firmed up. That matters: the setup is no longer washed-out, meaning a simple "conflict-drag-in-line" print may not be enough; the market likely wants evidence of the</w:t>
      </w:r>
      <w:r>
        <w:t xml:space="preserve"> </w:t>
      </w:r>
      <w:r>
        <w:rPr>
          <w:b/>
          <w:bCs/>
        </w:rPr>
        <w:t xml:space="preserve">H2 recovery inflection</w:t>
      </w:r>
      <w:r>
        <w:t xml:space="preserve"> </w:t>
      </w:r>
      <w:r>
        <w:t xml:space="preserve">and a</w:t>
      </w:r>
      <w:r>
        <w:t xml:space="preserve"> </w:t>
      </w:r>
      <w:r>
        <w:rPr>
          <w:b/>
          <w:bCs/>
        </w:rPr>
        <w:t xml:space="preserve">stabilized/raised full-year low end</w:t>
      </w:r>
      <w:r>
        <w:t xml:space="preserve">.</w:t>
      </w:r>
    </w:p>
    <w:p>
      <w:pPr>
        <w:pStyle w:val="BodyText"/>
      </w:pPr>
      <w:r>
        <w:t xml:space="preserve">Insider activity has been modest and routine — recent Form 144 filings and a small planned director sale — not a signal in either direction.</w:t>
      </w:r>
    </w:p>
    <w:p>
      <w:r>
        <w:pict>
          <v:rect style="width:0;height:1.5pt" o:hralign="center" o:hrstd="t" o:hr="t"/>
        </w:pict>
      </w:r>
    </w:p>
    <w:bookmarkEnd w:id="14"/>
    <w:bookmarkStart w:id="15" w:name="scorecard-what-will-move-the-stock"/>
    <w:p>
      <w:pPr>
        <w:pStyle w:val="Heading2"/>
      </w:pPr>
      <w:r>
        <w:t xml:space="preserve">Scorecard: what will move the stock</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Watch item</w:t>
            </w:r>
          </w:p>
        </w:tc>
        <w:tc>
          <w:tcPr/>
          <w:p>
            <w:pPr>
              <w:pStyle w:val="Compact"/>
            </w:pPr>
            <w:r>
              <w:t xml:space="preserve">Bull outcome</w:t>
            </w:r>
          </w:p>
        </w:tc>
        <w:tc>
          <w:tcPr/>
          <w:p>
            <w:pPr>
              <w:pStyle w:val="Compact"/>
            </w:pPr>
            <w:r>
              <w:t xml:space="preserve">Bear outcome</w:t>
            </w:r>
          </w:p>
        </w:tc>
      </w:tr>
      <w:tr>
        <w:tc>
          <w:tcPr/>
          <w:p>
            <w:pPr>
              <w:pStyle w:val="Compact"/>
            </w:pPr>
            <w:r>
              <w:rPr>
                <w:b/>
                <w:bCs/>
              </w:rPr>
              <w:t xml:space="preserve">Conflict drag vs. ~3pt guide</w:t>
            </w:r>
          </w:p>
        </w:tc>
        <w:tc>
          <w:tcPr/>
          <w:p>
            <w:pPr>
              <w:pStyle w:val="Compact"/>
            </w:pPr>
            <w:r>
              <w:t xml:space="preserve">Landed lighter; recovery starting</w:t>
            </w:r>
          </w:p>
        </w:tc>
        <w:tc>
          <w:tcPr/>
          <w:p>
            <w:pPr>
              <w:pStyle w:val="Compact"/>
            </w:pPr>
            <w:r>
              <w:t xml:space="preserve">Worse/broadening (fuel, sentiment)</w:t>
            </w:r>
          </w:p>
        </w:tc>
      </w:tr>
      <w:tr>
        <w:tc>
          <w:tcPr/>
          <w:p>
            <w:pPr>
              <w:pStyle w:val="Compact"/>
            </w:pPr>
            <w:r>
              <w:rPr>
                <w:b/>
                <w:bCs/>
              </w:rPr>
              <w:t xml:space="preserve">Room nights</w:t>
            </w:r>
          </w:p>
        </w:tc>
        <w:tc>
          <w:tcPr/>
          <w:p>
            <w:pPr>
              <w:pStyle w:val="Compact"/>
            </w:pPr>
            <w:r>
              <w:t xml:space="preserve">At/above 4%; ex-conflict ~mid-high single digits</w:t>
            </w:r>
          </w:p>
        </w:tc>
        <w:tc>
          <w:tcPr/>
          <w:p>
            <w:pPr>
              <w:pStyle w:val="Compact"/>
            </w:pPr>
            <w:r>
              <w:t xml:space="preserve">Below 2%; weakness spreading beyond ME</w:t>
            </w:r>
          </w:p>
        </w:tc>
      </w:tr>
      <w:tr>
        <w:tc>
          <w:tcPr/>
          <w:p>
            <w:pPr>
              <w:pStyle w:val="Compact"/>
            </w:pPr>
            <w:r>
              <w:rPr>
                <w:b/>
                <w:bCs/>
              </w:rPr>
              <w:t xml:space="preserve">FY guide</w:t>
            </w:r>
          </w:p>
        </w:tc>
        <w:tc>
          <w:tcPr/>
          <w:p>
            <w:pPr>
              <w:pStyle w:val="Compact"/>
            </w:pPr>
            <w:r>
              <w:t xml:space="preserve">Low end raised toward high end</w:t>
            </w:r>
          </w:p>
        </w:tc>
        <w:tc>
          <w:tcPr/>
          <w:p>
            <w:pPr>
              <w:pStyle w:val="Compact"/>
            </w:pPr>
            <w:r>
              <w:t xml:space="preserve">Cut again; H2 recovery pushed out</w:t>
            </w:r>
          </w:p>
        </w:tc>
      </w:tr>
      <w:tr>
        <w:tc>
          <w:tcPr/>
          <w:p>
            <w:pPr>
              <w:pStyle w:val="Compact"/>
            </w:pPr>
            <w:r>
              <w:rPr>
                <w:b/>
                <w:bCs/>
              </w:rPr>
              <w:t xml:space="preserve">U.S. growth</w:t>
            </w:r>
          </w:p>
        </w:tc>
        <w:tc>
          <w:tcPr/>
          <w:p>
            <w:pPr>
              <w:pStyle w:val="Compact"/>
            </w:pPr>
            <w:r>
              <w:t xml:space="preserve">5th straight quarter of accel (low-teens+)</w:t>
            </w:r>
          </w:p>
        </w:tc>
        <w:tc>
          <w:tcPr/>
          <w:p>
            <w:pPr>
              <w:pStyle w:val="Compact"/>
            </w:pPr>
            <w:r>
              <w:t xml:space="preserve">Deceleration / macro cautiousness appears</w:t>
            </w:r>
          </w:p>
        </w:tc>
      </w:tr>
      <w:tr>
        <w:tc>
          <w:tcPr/>
          <w:p>
            <w:pPr>
              <w:pStyle w:val="Compact"/>
            </w:pPr>
            <w:r>
              <w:rPr>
                <w:b/>
                <w:bCs/>
              </w:rPr>
              <w:t xml:space="preserve">AI/agentic</w:t>
            </w:r>
          </w:p>
        </w:tc>
        <w:tc>
          <w:tcPr/>
          <w:p>
            <w:pPr>
              <w:pStyle w:val="Compact"/>
            </w:pPr>
            <w:r>
              <w:t xml:space="preserve">Concrete conversion + partnership monetization</w:t>
            </w:r>
          </w:p>
        </w:tc>
        <w:tc>
          <w:tcPr/>
          <w:p>
            <w:pPr>
              <w:pStyle w:val="Compact"/>
            </w:pPr>
            <w:r>
              <w:t xml:space="preserve">Vague; disruption fears resurface</w:t>
            </w:r>
          </w:p>
        </w:tc>
      </w:tr>
      <w:tr>
        <w:tc>
          <w:tcPr/>
          <w:p>
            <w:pPr>
              <w:pStyle w:val="Compact"/>
            </w:pPr>
            <w:r>
              <w:rPr>
                <w:b/>
                <w:bCs/>
              </w:rPr>
              <w:t xml:space="preserve">Margins/EBITDA</w:t>
            </w:r>
          </w:p>
        </w:tc>
        <w:tc>
          <w:tcPr/>
          <w:p>
            <w:pPr>
              <w:pStyle w:val="Compact"/>
            </w:pPr>
            <w:r>
              <w:t xml:space="preserve">Beat +4–6% on cost discipline + FX</w:t>
            </w:r>
          </w:p>
        </w:tc>
        <w:tc>
          <w:tcPr/>
          <w:p>
            <w:pPr>
              <w:pStyle w:val="Compact"/>
            </w:pPr>
            <w:r>
              <w:t xml:space="preserve">Marketing deleverage from cancellations</w:t>
            </w:r>
          </w:p>
        </w:tc>
      </w:tr>
      <w:tr>
        <w:tc>
          <w:tcPr/>
          <w:p>
            <w:pPr>
              <w:pStyle w:val="Compact"/>
            </w:pPr>
            <w:r>
              <w:rPr>
                <w:b/>
                <w:bCs/>
              </w:rPr>
              <w:t xml:space="preserve">Buyback</w:t>
            </w:r>
          </w:p>
        </w:tc>
        <w:tc>
          <w:tcPr/>
          <w:p>
            <w:pPr>
              <w:pStyle w:val="Compact"/>
            </w:pPr>
            <w:r>
              <w:t xml:space="preserve">Another large quarter</w:t>
            </w:r>
          </w:p>
        </w:tc>
        <w:tc>
          <w:tcPr/>
          <w:p>
            <w:pPr>
              <w:pStyle w:val="Compact"/>
            </w:pPr>
            <w:r>
              <w:t xml:space="preserve">Slowed pace</w:t>
            </w:r>
          </w:p>
        </w:tc>
      </w:tr>
    </w:tbl>
    <w:p>
      <w:pPr>
        <w:pStyle w:val="BodyText"/>
      </w:pPr>
      <w:r>
        <w:rPr>
          <w:b/>
          <w:bCs/>
        </w:rPr>
        <w:t xml:space="preserve">Bottom line:</w:t>
      </w:r>
      <w:r>
        <w:t xml:space="preserve"> </w:t>
      </w:r>
      <w:r>
        <w:t xml:space="preserve">BKNG's underlying engine — U.S. share gains, Asia strength, connected-trip attach, cost discipline, and heavy buybacks — looks healthy; the entire quarter hinges on whether the Iran/Middle East conflict tracked to the ~3-point guided drag and whether management can credibly signal the assumed second-half recovery is beginning. With the stock having rallied ~25% off its lows into the report, the bar has risen from "survive the shock" to "show the inflection."</w:t>
      </w:r>
    </w:p>
    <w:p>
      <w:pPr>
        <w:pStyle w:val="BodyText"/>
      </w:pPr>
      <w:r>
        <w:rPr>
          <w:i/>
          <w:iCs/>
        </w:rPr>
        <w:t xml:space="preserve">Note on data: figures above are drawn from BKNG's Q1 2026 release and earnings call plus recent market news; Q2 2026 results had not been reported as of this preview. All per-share figures reflect the 25-for-1 split.</w:t>
      </w:r>
    </w:p>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2026-08-04T01:42:11Z</dcterms:created>
  <dcterms:modified xsi:type="dcterms:W3CDTF">2026-08-04T01:42:11Z</dcterms:modified>
</cp:coreProperties>
</file>

<file path=docProps/custom.xml><?xml version="1.0" encoding="utf-8"?>
<Properties xmlns="http://schemas.openxmlformats.org/officeDocument/2006/custom-properties" xmlns:vt="http://schemas.openxmlformats.org/officeDocument/2006/docPropsVTypes"/>
</file>