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4c8225be51768b94e5c36cdb09d494061e8edb"/>
    <w:p>
      <w:pPr>
        <w:pStyle w:val="Heading1"/>
      </w:pPr>
      <w:r>
        <w:t xml:space="preserve">Booking Holdings (BKNG) — 2026 Q2 Earnings Preview</w:t>
      </w:r>
    </w:p>
    <w:p>
      <w:pPr>
        <w:pStyle w:val="BlockText"/>
      </w:pPr>
      <w:r>
        <w:rPr>
          <w:b/>
          <w:bCs/>
        </w:rPr>
        <w:t xml:space="preserve">Timing clarification:</w:t>
      </w:r>
      <w:r>
        <w:t xml:space="preserve"> </w:t>
      </w:r>
      <w:r>
        <w:t xml:space="preserve">Booking Holdings’ official schedule says it will release Q2 results at approximately</w:t>
      </w:r>
      <w:r>
        <w:t xml:space="preserve"> </w:t>
      </w:r>
      <w:r>
        <w:rPr>
          <w:b/>
          <w:bCs/>
        </w:rPr>
        <w:t xml:space="preserve">4:00 p.m. ET today, Tuesday, August 4, 2026</w:t>
      </w:r>
      <w:r>
        <w:t xml:space="preserve">, followed by its earnings call at</w:t>
      </w:r>
      <w:r>
        <w:t xml:space="preserve"> </w:t>
      </w:r>
      <w:r>
        <w:rPr>
          <w:b/>
          <w:bCs/>
        </w:rPr>
        <w:t xml:space="preserve">4:30 p.m. ET</w:t>
      </w:r>
      <w:r>
        <w:t xml:space="preserve">. Thus, the supplied August 4 event date is correct, but the report is</w:t>
      </w:r>
      <w:r>
        <w:t xml:space="preserve"> </w:t>
      </w:r>
      <w:r>
        <w:rPr>
          <w:b/>
          <w:bCs/>
        </w:rPr>
        <w:t xml:space="preserve">today rather than tomorrow</w:t>
      </w:r>
      <w:r>
        <w:t xml:space="preserve">. (</w:t>
      </w:r>
      <w:hyperlink r:id="rId9">
        <w:r>
          <w:rPr>
            <w:rStyle w:val="Hyperlink"/>
          </w:rPr>
          <w:t xml:space="preserve">ir.bookingholdings.com</w:t>
        </w:r>
      </w:hyperlink>
      <w:r>
        <w:t xml:space="preserve">)</w:t>
      </w:r>
    </w:p>
    <w:bookmarkStart w:id="11" w:name="investment-view-going-into-the-report"/>
    <w:p>
      <w:pPr>
        <w:pStyle w:val="Heading2"/>
      </w:pPr>
      <w:r>
        <w:t xml:space="preserve">Investment view going into the report</w:t>
      </w:r>
    </w:p>
    <w:p>
      <w:pPr>
        <w:pStyle w:val="FirstParagraph"/>
      </w:pPr>
      <w:r>
        <w:t xml:space="preserve">The reported quarter matters, but</w:t>
      </w:r>
      <w:r>
        <w:t xml:space="preserve"> </w:t>
      </w:r>
      <w:r>
        <w:rPr>
          <w:b/>
          <w:bCs/>
        </w:rPr>
        <w:t xml:space="preserve">the market’s main question will be whether Booking’s assumed second-half travel recovery is still realistic</w:t>
      </w:r>
      <w:r>
        <w:t xml:space="preserve">.</w:t>
      </w:r>
    </w:p>
    <w:p>
      <w:pPr>
        <w:pStyle w:val="BodyText"/>
      </w:pPr>
      <w:r>
        <w:t xml:space="preserve">Management entered Q2 assuming the Middle East conflict would depress results through June and then begin recovering in the second half. That assumption now looks optimistic: airspace restrictions and flight disruptions continued into July, while renewed escalation has kept the risk of cancellations and route changes elevated. IATA data had shown gradual improvement in summer bookings, but subsequent disruptions mean the recovery is unlikely to be clean or linear. (</w:t>
      </w:r>
      <w:hyperlink r:id="rId10">
        <w:r>
          <w:rPr>
            <w:rStyle w:val="Hyperlink"/>
          </w:rPr>
          <w:t xml:space="preserve">iata.org</w:t>
        </w:r>
      </w:hyperlink>
      <w:r>
        <w:t xml:space="preserve">)</w:t>
      </w:r>
    </w:p>
    <w:p>
      <w:pPr>
        <w:pStyle w:val="BodyText"/>
      </w:pPr>
      <w:r>
        <w:t xml:space="preserve">The likely stock-moving variables, in order, are:</w:t>
      </w:r>
    </w:p>
    <w:p>
      <w:pPr>
        <w:pStyle w:val="Compact"/>
        <w:numPr>
          <w:ilvl w:val="0"/>
          <w:numId w:val="1001"/>
        </w:numPr>
      </w:pPr>
      <w:r>
        <w:rPr>
          <w:b/>
          <w:bCs/>
        </w:rPr>
        <w:t xml:space="preserve">Current room-night trends and Q3 guidance</w:t>
      </w:r>
    </w:p>
    <w:p>
      <w:pPr>
        <w:pStyle w:val="Compact"/>
        <w:numPr>
          <w:ilvl w:val="0"/>
          <w:numId w:val="1001"/>
        </w:numPr>
      </w:pPr>
      <w:r>
        <w:rPr>
          <w:b/>
          <w:bCs/>
        </w:rPr>
        <w:t xml:space="preserve">Any revision to full-year guidance</w:t>
      </w:r>
    </w:p>
    <w:p>
      <w:pPr>
        <w:pStyle w:val="Compact"/>
        <w:numPr>
          <w:ilvl w:val="0"/>
          <w:numId w:val="1001"/>
        </w:numPr>
      </w:pPr>
      <w:r>
        <w:rPr>
          <w:b/>
          <w:bCs/>
        </w:rPr>
        <w:t xml:space="preserve">Marketing efficiency and EBITDA margins</w:t>
      </w:r>
    </w:p>
    <w:p>
      <w:pPr>
        <w:pStyle w:val="Compact"/>
        <w:numPr>
          <w:ilvl w:val="0"/>
          <w:numId w:val="1001"/>
        </w:numPr>
      </w:pPr>
      <w:r>
        <w:rPr>
          <w:b/>
          <w:bCs/>
        </w:rPr>
        <w:t xml:space="preserve">U.S. share gains and Asian travel demand</w:t>
      </w:r>
    </w:p>
    <w:p>
      <w:pPr>
        <w:pStyle w:val="Compact"/>
        <w:numPr>
          <w:ilvl w:val="0"/>
          <w:numId w:val="1001"/>
        </w:numPr>
      </w:pPr>
      <w:r>
        <w:rPr>
          <w:b/>
          <w:bCs/>
        </w:rPr>
        <w:t xml:space="preserve">Buybacks and share-count reduction</w:t>
      </w:r>
    </w:p>
    <w:p>
      <w:r>
        <w:pict>
          <v:rect style="width:0;height:1.5pt" o:hralign="center" o:hrstd="t" o:hr="t"/>
        </w:pict>
      </w:r>
    </w:p>
    <w:bookmarkEnd w:id="11"/>
    <w:bookmarkStart w:id="12" w:name="q2-guide-implied-scorecard"/>
    <w:p>
      <w:pPr>
        <w:pStyle w:val="Heading2"/>
      </w:pPr>
      <w:r>
        <w:t xml:space="preserve">Q2 guide-implied scorecard</w:t>
      </w:r>
    </w:p>
    <w:p>
      <w:pPr>
        <w:pStyle w:val="FirstParagraph"/>
      </w:pPr>
      <w:r>
        <w:t xml:space="preserve">Booking did not provide quarterly adjusted-EPS guidance. Its operating guidance implies the following ranges using Q2 2025 as the base: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2025 actual</w:t>
            </w:r>
          </w:p>
        </w:tc>
        <w:tc>
          <w:tcPr/>
          <w:p>
            <w:pPr>
              <w:pStyle w:val="Compact"/>
              <w:jc w:val="right"/>
            </w:pPr>
            <w:r>
              <w:t xml:space="preserve">Q2 2026 guidance</w:t>
            </w:r>
          </w:p>
        </w:tc>
        <w:tc>
          <w:tcPr/>
          <w:p>
            <w:pPr>
              <w:pStyle w:val="Compact"/>
              <w:jc w:val="right"/>
            </w:pPr>
            <w:r>
              <w:t xml:space="preserve">Implied Q2 2026</w:t>
            </w:r>
          </w:p>
        </w:tc>
      </w:tr>
      <w:tr>
        <w:tc>
          <w:tcPr/>
          <w:p>
            <w:pPr>
              <w:pStyle w:val="Compact"/>
            </w:pPr>
            <w:r>
              <w:t xml:space="preserve">Room nights</w:t>
            </w:r>
          </w:p>
        </w:tc>
        <w:tc>
          <w:tcPr/>
          <w:p>
            <w:pPr>
              <w:pStyle w:val="Compact"/>
              <w:jc w:val="right"/>
            </w:pPr>
            <w:r>
              <w:t xml:space="preserve">309 million</w:t>
            </w:r>
          </w:p>
        </w:tc>
        <w:tc>
          <w:tcPr/>
          <w:p>
            <w:pPr>
              <w:pStyle w:val="Compact"/>
              <w:jc w:val="right"/>
            </w:pPr>
            <w:r>
              <w:t xml:space="preserve">+2% to +4%</w:t>
            </w:r>
          </w:p>
        </w:tc>
        <w:tc>
          <w:tcPr/>
          <w:p>
            <w:pPr>
              <w:pStyle w:val="Compact"/>
              <w:jc w:val="right"/>
            </w:pPr>
            <w:r>
              <w:rPr>
                <w:b/>
                <w:bCs/>
              </w:rPr>
              <w:t xml:space="preserve">315–321 million</w:t>
            </w:r>
          </w:p>
        </w:tc>
      </w:tr>
      <w:tr>
        <w:tc>
          <w:tcPr/>
          <w:p>
            <w:pPr>
              <w:pStyle w:val="Compact"/>
            </w:pPr>
            <w:r>
              <w:t xml:space="preserve">Gross bookings</w:t>
            </w:r>
          </w:p>
        </w:tc>
        <w:tc>
          <w:tcPr/>
          <w:p>
            <w:pPr>
              <w:pStyle w:val="Compact"/>
              <w:jc w:val="right"/>
            </w:pPr>
            <w:r>
              <w:t xml:space="preserve">$46.7 billion</w:t>
            </w:r>
          </w:p>
        </w:tc>
        <w:tc>
          <w:tcPr/>
          <w:p>
            <w:pPr>
              <w:pStyle w:val="Compact"/>
              <w:jc w:val="right"/>
            </w:pPr>
            <w:r>
              <w:t xml:space="preserve">+4% to +6%</w:t>
            </w:r>
          </w:p>
        </w:tc>
        <w:tc>
          <w:tcPr/>
          <w:p>
            <w:pPr>
              <w:pStyle w:val="Compact"/>
              <w:jc w:val="right"/>
            </w:pPr>
            <m:oMath>
              <m:r>
                <m:t>48.6</m:t>
              </m:r>
              <m:r>
                <m:rPr>
                  <m:sty m:val="p"/>
                </m:rPr>
                <m:t>–</m:t>
              </m:r>
            </m:oMath>
            <w:r>
              <w:rPr>
                <w:b/>
                <w:bCs/>
              </w:rPr>
              <w:t xml:space="preserve">49.5 billion</w:t>
            </w:r>
          </w:p>
        </w:tc>
      </w:tr>
      <w:tr>
        <w:tc>
          <w:tcPr/>
          <w:p>
            <w:pPr>
              <w:pStyle w:val="Compact"/>
            </w:pPr>
            <w:r>
              <w:t xml:space="preserve">Revenue</w:t>
            </w:r>
          </w:p>
        </w:tc>
        <w:tc>
          <w:tcPr/>
          <w:p>
            <w:pPr>
              <w:pStyle w:val="Compact"/>
              <w:jc w:val="right"/>
            </w:pPr>
            <w:r>
              <w:t xml:space="preserve">$6.80 billion</w:t>
            </w:r>
          </w:p>
        </w:tc>
        <w:tc>
          <w:tcPr/>
          <w:p>
            <w:pPr>
              <w:pStyle w:val="Compact"/>
              <w:jc w:val="right"/>
            </w:pPr>
            <w:r>
              <w:t xml:space="preserve">+4% to +6%</w:t>
            </w:r>
          </w:p>
        </w:tc>
        <w:tc>
          <w:tcPr/>
          <w:p>
            <w:pPr>
              <w:pStyle w:val="Compact"/>
              <w:jc w:val="right"/>
            </w:pPr>
            <m:oMath>
              <m:r>
                <m:t>7.07</m:t>
              </m:r>
              <m:r>
                <m:rPr>
                  <m:sty m:val="p"/>
                </m:rPr>
                <m:t>–</m:t>
              </m:r>
            </m:oMath>
            <w:r>
              <w:rPr>
                <w:b/>
                <w:bCs/>
              </w:rPr>
              <w:t xml:space="preserve">7.21 billion</w:t>
            </w:r>
          </w:p>
        </w:tc>
      </w:tr>
      <w:tr>
        <w:tc>
          <w:tcPr/>
          <w:p>
            <w:pPr>
              <w:pStyle w:val="Compact"/>
            </w:pPr>
            <w:r>
              <w:t xml:space="preserve">Adjusted EBITDA</w:t>
            </w:r>
          </w:p>
        </w:tc>
        <w:tc>
          <w:tcPr/>
          <w:p>
            <w:pPr>
              <w:pStyle w:val="Compact"/>
              <w:jc w:val="right"/>
            </w:pPr>
            <w:r>
              <w:t xml:space="preserve">$2.42 billion</w:t>
            </w:r>
          </w:p>
        </w:tc>
        <w:tc>
          <w:tcPr/>
          <w:p>
            <w:pPr>
              <w:pStyle w:val="Compact"/>
              <w:jc w:val="right"/>
            </w:pPr>
            <w:r>
              <w:t xml:space="preserve">+4% to +6%</w:t>
            </w:r>
          </w:p>
        </w:tc>
        <w:tc>
          <w:tcPr/>
          <w:p>
            <w:pPr>
              <w:pStyle w:val="Compact"/>
              <w:jc w:val="right"/>
            </w:pPr>
            <m:oMath>
              <m:r>
                <m:t>2.52</m:t>
              </m:r>
              <m:r>
                <m:rPr>
                  <m:sty m:val="p"/>
                </m:rPr>
                <m:t>–</m:t>
              </m:r>
            </m:oMath>
            <w:r>
              <w:rPr>
                <w:b/>
                <w:bCs/>
              </w:rPr>
              <w:t xml:space="preserve">2.57 billion</w:t>
            </w:r>
          </w:p>
        </w:tc>
      </w:tr>
      <w:tr>
        <w:tc>
          <w:tcPr/>
          <w:p>
            <w:pPr>
              <w:pStyle w:val="Compact"/>
            </w:pPr>
            <w:r>
              <w:t xml:space="preserve">Constant-currency gross bookings</w:t>
            </w:r>
          </w:p>
        </w:tc>
        <w:tc>
          <w:tcPr/>
          <w:p>
            <w:pPr>
              <w:pStyle w:val="Compact"/>
              <w:jc w:val="right"/>
            </w:pPr>
            <w:r>
              <w:t xml:space="preserve">—</w:t>
            </w:r>
          </w:p>
        </w:tc>
        <w:tc>
          <w:tcPr/>
          <w:p>
            <w:pPr>
              <w:pStyle w:val="Compact"/>
              <w:jc w:val="right"/>
            </w:pPr>
            <w:r>
              <w:t xml:space="preserve">+2% to +4%</w:t>
            </w:r>
          </w:p>
        </w:tc>
        <w:tc>
          <w:tcPr/>
          <w:p>
            <w:pPr>
              <w:pStyle w:val="Compact"/>
              <w:jc w:val="right"/>
            </w:pPr>
            <w:r>
              <w:t xml:space="preserve">—</w:t>
            </w:r>
          </w:p>
        </w:tc>
      </w:tr>
      <w:tr>
        <w:tc>
          <w:tcPr/>
          <w:p>
            <w:pPr>
              <w:pStyle w:val="Compact"/>
            </w:pPr>
            <w:r>
              <w:t xml:space="preserve">Constant-currency revenue</w:t>
            </w:r>
          </w:p>
        </w:tc>
        <w:tc>
          <w:tcPr/>
          <w:p>
            <w:pPr>
              <w:pStyle w:val="Compact"/>
              <w:jc w:val="right"/>
            </w:pPr>
            <w:r>
              <w:t xml:space="preserve">—</w:t>
            </w:r>
          </w:p>
        </w:tc>
        <w:tc>
          <w:tcPr/>
          <w:p>
            <w:pPr>
              <w:pStyle w:val="Compact"/>
              <w:jc w:val="right"/>
            </w:pPr>
            <w:r>
              <w:t xml:space="preserve">+2% to +4%</w:t>
            </w:r>
          </w:p>
        </w:tc>
        <w:tc>
          <w:tcPr/>
          <w:p>
            <w:pPr>
              <w:pStyle w:val="Compact"/>
              <w:jc w:val="right"/>
            </w:pPr>
            <w:r>
              <w:t xml:space="preserve">—</w:t>
            </w:r>
          </w:p>
        </w:tc>
      </w:tr>
    </w:tbl>
    <w:p>
      <w:pPr>
        <w:pStyle w:val="BodyText"/>
      </w:pPr>
      <w:r>
        <w:t xml:space="preserve">These are</w:t>
      </w:r>
      <w:r>
        <w:t xml:space="preserve"> </w:t>
      </w:r>
      <w:r>
        <w:rPr>
          <w:b/>
          <w:bCs/>
        </w:rPr>
        <w:t xml:space="preserve">company-guide benchmarks, not current sell-side consensus estimates</w:t>
      </w:r>
      <w:r>
        <w:t xml:space="preserve">.</w:t>
      </w:r>
    </w:p>
    <w:p>
      <w:pPr>
        <w:pStyle w:val="BodyText"/>
      </w:pPr>
      <w:r>
        <w:t xml:space="preserve">The distinction between reported and constant-currency growth is important. Approximately two percentage points of Q2 reported growth were expected to come from FX. A 5% reported result would therefore represent only about 3% underlying constant-currency growth.</w:t>
      </w:r>
    </w:p>
    <w:p>
      <w:pPr>
        <w:pStyle w:val="BodyText"/>
      </w:pPr>
      <w:r>
        <w:t xml:space="preserve">Also note that Booking completed a</w:t>
      </w:r>
      <w:r>
        <w:t xml:space="preserve"> </w:t>
      </w:r>
      <w:r>
        <w:rPr>
          <w:b/>
          <w:bCs/>
        </w:rPr>
        <w:t xml:space="preserve">25-for-1 stock split on April 2, 2026</w:t>
      </w:r>
      <w:r>
        <w:t xml:space="preserve">. Q2 2025 adjusted EPS of</w:t>
      </w:r>
      <w:r>
        <w:t xml:space="preserve"> </w:t>
      </w:r>
      <m:oMath>
        <m:r>
          <m:t>55.40</m:t>
        </m:r>
        <m:r>
          <m:t>o</m:t>
        </m:r>
        <m:r>
          <m:t>n</m:t>
        </m:r>
        <m:r>
          <m:t>t</m:t>
        </m:r>
        <m:r>
          <m:t>h</m:t>
        </m:r>
        <m:r>
          <m:t>e</m:t>
        </m:r>
        <m:r>
          <m:t>o</m:t>
        </m:r>
        <m:r>
          <m:t>l</m:t>
        </m:r>
        <m:r>
          <m:t>d</m:t>
        </m:r>
        <m:r>
          <m:t>b</m:t>
        </m:r>
        <m:r>
          <m:t>a</m:t>
        </m:r>
        <m:r>
          <m:t>s</m:t>
        </m:r>
        <m:r>
          <m:t>i</m:t>
        </m:r>
        <m:r>
          <m:t>s</m:t>
        </m:r>
        <m:r>
          <m:t>e</m:t>
        </m:r>
        <m:r>
          <m:t>q</m:t>
        </m:r>
        <m:r>
          <m:t>u</m:t>
        </m:r>
        <m:r>
          <m:t>a</m:t>
        </m:r>
        <m:r>
          <m:t>t</m:t>
        </m:r>
        <m:r>
          <m:t>e</m:t>
        </m:r>
        <m:r>
          <m:t>s</m:t>
        </m:r>
        <m:r>
          <m:t>t</m:t>
        </m:r>
        <m:r>
          <m:t>o</m:t>
        </m:r>
        <m:r>
          <m:t>a</m:t>
        </m:r>
        <m:r>
          <m:t>p</m:t>
        </m:r>
        <m:r>
          <m:t>p</m:t>
        </m:r>
        <m:r>
          <m:t>r</m:t>
        </m:r>
        <m:r>
          <m:t>o</m:t>
        </m:r>
        <m:r>
          <m:t>x</m:t>
        </m:r>
        <m:r>
          <m:t>i</m:t>
        </m:r>
        <m:r>
          <m:t>m</m:t>
        </m:r>
        <m:r>
          <m:t>a</m:t>
        </m:r>
        <m:r>
          <m:t>t</m:t>
        </m:r>
        <m:r>
          <m:t>e</m:t>
        </m:r>
        <m:r>
          <m:t>l</m:t>
        </m:r>
        <m:r>
          <m:t>y</m:t>
        </m:r>
        <m:r>
          <m:rPr>
            <m:sty m:val="p"/>
          </m:rPr>
          <m:t>*</m:t>
        </m:r>
        <m:r>
          <m:rPr>
            <m:sty m:val="p"/>
          </m:rPr>
          <m:t>*</m:t>
        </m:r>
      </m:oMath>
      <w:r>
        <w:t xml:space="preserve">2.22 per share** on the split-adjusted basis.</w:t>
      </w:r>
    </w:p>
    <w:p>
      <w:r>
        <w:pict>
          <v:rect style="width:0;height:1.5pt" o:hralign="center" o:hrstd="t" o:hr="t"/>
        </w:pict>
      </w:r>
    </w:p>
    <w:bookmarkEnd w:id="12"/>
    <w:bookmarkStart w:id="14" w:name="Xa43aa00a577659adb45378152666e8b2ce13bff"/>
    <w:p>
      <w:pPr>
        <w:pStyle w:val="Heading2"/>
      </w:pPr>
      <w:r>
        <w:t xml:space="preserve">The central issue: what replaces the June recovery assumption?</w:t>
      </w:r>
    </w:p>
    <w:p>
      <w:pPr>
        <w:pStyle w:val="FirstParagraph"/>
      </w:pPr>
      <w:r>
        <w:t xml:space="preserve">In April, management estimated that the Middle East conflict would reduce Q2 room-night growth by approximately three percentage points. In other words, the midpoint of its 2%–4% reported room-night guide represented roughly</w:t>
      </w:r>
      <w:r>
        <w:t xml:space="preserve"> </w:t>
      </w:r>
      <w:r>
        <w:rPr>
          <w:b/>
          <w:bCs/>
        </w:rPr>
        <w:t xml:space="preserve">6% normalized growth</w:t>
      </w:r>
      <w:r>
        <w:t xml:space="preserve"> </w:t>
      </w:r>
      <w:r>
        <w:t xml:space="preserve">absent the conflict.</w:t>
      </w:r>
    </w:p>
    <w:p>
      <w:pPr>
        <w:pStyle w:val="BodyText"/>
      </w:pPr>
      <w:r>
        <w:t xml:space="preserve">The complication is that the disruption did not simply end with June. Airlines continued to alter or suspend Middle East routes in July, and warnings about cancellations and temporary airspace closures remained in place in early August. (</w:t>
      </w:r>
      <w:hyperlink r:id="rId13">
        <w:r>
          <w:rPr>
            <w:rStyle w:val="Hyperlink"/>
          </w:rPr>
          <w:t xml:space="preserve">investing.com</w:t>
        </w:r>
      </w:hyperlink>
      <w:r>
        <w:t xml:space="preserve">)</w:t>
      </w:r>
    </w:p>
    <w:p>
      <w:pPr>
        <w:pStyle w:val="BodyText"/>
      </w:pPr>
      <w:r>
        <w:t xml:space="preserve">Investors should listen for three specific disclosures:</w:t>
      </w:r>
    </w:p>
    <w:p>
      <w:pPr>
        <w:pStyle w:val="Compact"/>
        <w:numPr>
          <w:ilvl w:val="0"/>
          <w:numId w:val="1002"/>
        </w:numPr>
      </w:pPr>
      <w:r>
        <w:t xml:space="preserve">How much did the conflict ultimately reduce Q2 room nights and gross bookings?</w:t>
      </w:r>
    </w:p>
    <w:p>
      <w:pPr>
        <w:pStyle w:val="Compact"/>
        <w:numPr>
          <w:ilvl w:val="0"/>
          <w:numId w:val="1002"/>
        </w:numPr>
      </w:pPr>
      <w:r>
        <w:t xml:space="preserve">What has room-night growth been since the end of June?</w:t>
      </w:r>
    </w:p>
    <w:p>
      <w:pPr>
        <w:pStyle w:val="Compact"/>
        <w:numPr>
          <w:ilvl w:val="0"/>
          <w:numId w:val="1002"/>
        </w:numPr>
      </w:pPr>
      <w:r>
        <w:t xml:space="preserve">Does management now assume disruption throughout Q3, or a renewed recovery later in the quarter?</w:t>
      </w:r>
    </w:p>
    <w:p>
      <w:pPr>
        <w:pStyle w:val="FirstParagraph"/>
      </w:pPr>
      <w:r>
        <w:t xml:space="preserve">A Q2 beat driven by lower cancellations will carry less weight if Q3 guidance is weak. Conversely, even an in-line Q2 could be received well if current bookings show a credible acceleration.</w:t>
      </w:r>
    </w:p>
    <w:p>
      <w:r>
        <w:pict>
          <v:rect style="width:0;height:1.5pt" o:hralign="center" o:hrstd="t" o:hr="t"/>
        </w:pict>
      </w:r>
    </w:p>
    <w:bookmarkEnd w:id="14"/>
    <w:bookmarkStart w:id="19" w:name="operating-indicators-that-matter"/>
    <w:p>
      <w:pPr>
        <w:pStyle w:val="Heading2"/>
      </w:pPr>
      <w:r>
        <w:t xml:space="preserve">Operating indicators that matter</w:t>
      </w:r>
    </w:p>
    <w:bookmarkStart w:id="15" w:name="X257f03b85e1e17090ab9601f5f221e931dee1a4"/>
    <w:p>
      <w:pPr>
        <w:pStyle w:val="Heading3"/>
      </w:pPr>
      <w:r>
        <w:t xml:space="preserve">1. Room nights versus ADR</w:t>
      </w:r>
    </w:p>
    <w:p>
      <w:pPr>
        <w:pStyle w:val="FirstParagraph"/>
      </w:pPr>
      <w:r>
        <w:t xml:space="preserve">Room nights are the cleanest indicator of platform demand. Q1 room nights increased 6%, including an estimated two-point conflict headwind. For Q2, management expected only 2%–4% growth and slightly lower ADRs because of changes in destination and travel mix.</w:t>
      </w:r>
    </w:p>
    <w:p>
      <w:pPr>
        <w:pStyle w:val="BodyText"/>
      </w:pPr>
      <w:r>
        <w:t xml:space="preserve">The best outcome would be:</w:t>
      </w:r>
    </w:p>
    <w:p>
      <w:pPr>
        <w:pStyle w:val="Compact"/>
        <w:numPr>
          <w:ilvl w:val="0"/>
          <w:numId w:val="1003"/>
        </w:numPr>
      </w:pPr>
      <w:r>
        <w:t xml:space="preserve">Room nights near or above the 4% high end;</w:t>
      </w:r>
    </w:p>
    <w:p>
      <w:pPr>
        <w:pStyle w:val="Compact"/>
        <w:numPr>
          <w:ilvl w:val="0"/>
          <w:numId w:val="1003"/>
        </w:numPr>
      </w:pPr>
      <w:r>
        <w:t xml:space="preserve">Stable or positive constant-currency ADR;</w:t>
      </w:r>
    </w:p>
    <w:p>
      <w:pPr>
        <w:pStyle w:val="Compact"/>
        <w:numPr>
          <w:ilvl w:val="0"/>
          <w:numId w:val="1003"/>
        </w:numPr>
      </w:pPr>
      <w:r>
        <w:t xml:space="preserve">Evidence that weakness remains geographically concentrated rather than spreading to Europe, Asia or the U.S.</w:t>
      </w:r>
    </w:p>
    <w:p>
      <w:pPr>
        <w:pStyle w:val="FirstParagraph"/>
      </w:pPr>
      <w:r>
        <w:t xml:space="preserve">A result driven mainly by higher ADR or FX, with room nights near 2%, would be lower quality.</w:t>
      </w:r>
    </w:p>
    <w:bookmarkEnd w:id="15"/>
    <w:bookmarkStart w:id="16" w:name="Xfd5874278c548f854c60d4ce048713c93ddf3bd"/>
    <w:p>
      <w:pPr>
        <w:pStyle w:val="Heading3"/>
      </w:pPr>
      <w:r>
        <w:t xml:space="preserve">2. U.S. share gains</w:t>
      </w:r>
    </w:p>
    <w:p>
      <w:pPr>
        <w:pStyle w:val="FirstParagraph"/>
      </w:pPr>
      <w:r>
        <w:t xml:space="preserve">The U.S. was a standout in Q1, with room nights growing in the low teens for the fourth consecutive quarter of acceleration. Management attributed this to domestic travel, product investment and a strengthening direct channel.</w:t>
      </w:r>
    </w:p>
    <w:p>
      <w:pPr>
        <w:pStyle w:val="BodyText"/>
      </w:pPr>
      <w:r>
        <w:t xml:space="preserve">Investors should look for whether:</w:t>
      </w:r>
    </w:p>
    <w:p>
      <w:pPr>
        <w:pStyle w:val="Compact"/>
        <w:numPr>
          <w:ilvl w:val="0"/>
          <w:numId w:val="1004"/>
        </w:numPr>
      </w:pPr>
      <w:r>
        <w:t xml:space="preserve">U.S. growth remains double-digit;</w:t>
      </w:r>
    </w:p>
    <w:p>
      <w:pPr>
        <w:pStyle w:val="Compact"/>
        <w:numPr>
          <w:ilvl w:val="0"/>
          <w:numId w:val="1004"/>
        </w:numPr>
      </w:pPr>
      <w:r>
        <w:t xml:space="preserve">Booking.com continues gaining share in accommodations;</w:t>
      </w:r>
    </w:p>
    <w:p>
      <w:pPr>
        <w:pStyle w:val="Compact"/>
        <w:numPr>
          <w:ilvl w:val="0"/>
          <w:numId w:val="1004"/>
        </w:numPr>
      </w:pPr>
      <w:r>
        <w:t xml:space="preserve">Lower-income U.S. travelers remain stable;</w:t>
      </w:r>
    </w:p>
    <w:p>
      <w:pPr>
        <w:pStyle w:val="Compact"/>
        <w:numPr>
          <w:ilvl w:val="0"/>
          <w:numId w:val="1004"/>
        </w:numPr>
      </w:pPr>
      <w:r>
        <w:t xml:space="preserve">Flights, packages and ground transportation are improving Booking’s position beyond hotels.</w:t>
      </w:r>
    </w:p>
    <w:p>
      <w:pPr>
        <w:pStyle w:val="FirstParagraph"/>
      </w:pPr>
      <w:r>
        <w:t xml:space="preserve">Sustained U.S. outperformance would support the argument that Booking has company-specific growth drivers even when the global travel market slows.</w:t>
      </w:r>
    </w:p>
    <w:bookmarkEnd w:id="16"/>
    <w:bookmarkStart w:id="17" w:name="Xfa01790607fe6e92a56faa677febe6fc162ac05"/>
    <w:p>
      <w:pPr>
        <w:pStyle w:val="Heading3"/>
      </w:pPr>
      <w:r>
        <w:t xml:space="preserve">3. Asia and Europe</w:t>
      </w:r>
    </w:p>
    <w:p>
      <w:pPr>
        <w:pStyle w:val="FirstParagraph"/>
      </w:pPr>
      <w:r>
        <w:t xml:space="preserve">Q1 intra-Asia room nights grew at a low-double-digit rate, while intra-European demand grew at a high-single-digit rate. Those figures suggested that underlying demand outside disrupted travel corridors remained healthy.</w:t>
      </w:r>
    </w:p>
    <w:p>
      <w:pPr>
        <w:pStyle w:val="BodyText"/>
      </w:pPr>
      <w:r>
        <w:t xml:space="preserve">The concern is that Middle East airspace disruption affects more than travel into the region—it also complicates Europe-to-Asia routes. A meaningful slowdown in intra-regional Asian or European demand would be more concerning than continued weakness in directly affected markets.</w:t>
      </w:r>
    </w:p>
    <w:bookmarkEnd w:id="17"/>
    <w:bookmarkStart w:id="18" w:name="X84831752d2079af0bdd4f23e42aece83363dc7c"/>
    <w:p>
      <w:pPr>
        <w:pStyle w:val="Heading3"/>
      </w:pPr>
      <w:r>
        <w:t xml:space="preserve">4. Marketing efficiency</w:t>
      </w:r>
    </w:p>
    <w:p>
      <w:pPr>
        <w:pStyle w:val="FirstParagraph"/>
      </w:pPr>
      <w:r>
        <w:t xml:space="preserve">Q1 marketing expense was 3.8% of gross bookings. Management said conflict-related cancellations caused some paid bookings to generate marketing costs without corresponding completed travel.</w:t>
      </w:r>
    </w:p>
    <w:p>
      <w:pPr>
        <w:pStyle w:val="BodyText"/>
      </w:pPr>
      <w:r>
        <w:t xml:space="preserve">Q2 should provide a cleaner test of Booking’s efficiency:</w:t>
      </w:r>
    </w:p>
    <w:p>
      <w:pPr>
        <w:pStyle w:val="Compact"/>
        <w:numPr>
          <w:ilvl w:val="0"/>
          <w:numId w:val="1005"/>
        </w:numPr>
      </w:pPr>
      <w:r>
        <w:rPr>
          <w:b/>
          <w:bCs/>
        </w:rPr>
        <w:t xml:space="preserve">Positive:</w:t>
      </w:r>
      <w:r>
        <w:t xml:space="preserve"> </w:t>
      </w:r>
      <w:r>
        <w:t xml:space="preserve">Marketing grows slower than gross bookings, helped by direct traffic, apps and loyalty.</w:t>
      </w:r>
    </w:p>
    <w:p>
      <w:pPr>
        <w:pStyle w:val="Compact"/>
        <w:numPr>
          <w:ilvl w:val="0"/>
          <w:numId w:val="1005"/>
        </w:numPr>
      </w:pPr>
      <w:r>
        <w:rPr>
          <w:b/>
          <w:bCs/>
        </w:rPr>
        <w:t xml:space="preserve">Negative:</w:t>
      </w:r>
      <w:r>
        <w:t xml:space="preserve"> </w:t>
      </w:r>
      <w:r>
        <w:t xml:space="preserve">Marketing remains elevated despite weak room-night growth, suggesting Booking must spend more heavily to preserve demand.</w:t>
      </w:r>
    </w:p>
    <w:p>
      <w:pPr>
        <w:pStyle w:val="FirstParagraph"/>
      </w:pPr>
      <w:r>
        <w:t xml:space="preserve">Because Q2 revenue and adjusted EBITDA were both guided to grow 4%–6%, the guide implies roughly flat adjusted EBITDA margin around last year’s</w:t>
      </w:r>
      <w:r>
        <w:t xml:space="preserve"> </w:t>
      </w:r>
      <w:r>
        <w:rPr>
          <w:b/>
          <w:bCs/>
        </w:rPr>
        <w:t xml:space="preserve">35.6%</w:t>
      </w:r>
      <w:r>
        <w:t xml:space="preserve">. Material margin expansion would therefore represent a meaningful beat; contraction would raise questions about marketing, payment and customer-service costs.</w:t>
      </w:r>
    </w:p>
    <w:p>
      <w:r>
        <w:pict>
          <v:rect style="width:0;height:1.5pt" o:hralign="center" o:hrstd="t" o:hr="t"/>
        </w:pict>
      </w:r>
    </w:p>
    <w:bookmarkEnd w:id="18"/>
    <w:bookmarkEnd w:id="19"/>
    <w:bookmarkStart w:id="20" w:name="merchant-mix-loyalty-and-connected-trip"/>
    <w:p>
      <w:pPr>
        <w:pStyle w:val="Heading2"/>
      </w:pPr>
      <w:r>
        <w:t xml:space="preserve">Merchant mix, loyalty and Connected Trip</w:t>
      </w:r>
    </w:p>
    <w:p>
      <w:pPr>
        <w:pStyle w:val="FirstParagraph"/>
      </w:pPr>
      <w:r>
        <w:t xml:space="preserve">Booking’s merchant gross bookings increased 24% in Q1 and represented approximately 72% of total gross bookings, up five percentage points year over year. The merchant model gives Booking greater control over payments and enables cross-selling, but it also carries payment-processing, customer-service, chargeback and working-capital costs.</w:t>
      </w:r>
    </w:p>
    <w:p>
      <w:pPr>
        <w:pStyle w:val="BodyText"/>
      </w:pPr>
      <w:r>
        <w:t xml:space="preserve">Key indicators include:</w:t>
      </w:r>
    </w:p>
    <w:p>
      <w:pPr>
        <w:pStyle w:val="Compact"/>
        <w:numPr>
          <w:ilvl w:val="0"/>
          <w:numId w:val="1006"/>
        </w:numPr>
      </w:pPr>
      <w:r>
        <w:t xml:space="preserve">Merchant bookings continuing to outgrow agency bookings;</w:t>
      </w:r>
    </w:p>
    <w:p>
      <w:pPr>
        <w:pStyle w:val="Compact"/>
        <w:numPr>
          <w:ilvl w:val="0"/>
          <w:numId w:val="1006"/>
        </w:numPr>
      </w:pPr>
      <w:r>
        <w:t xml:space="preserve">Revenue growing at least in line with gross bookings;</w:t>
      </w:r>
    </w:p>
    <w:p>
      <w:pPr>
        <w:pStyle w:val="Compact"/>
        <w:numPr>
          <w:ilvl w:val="0"/>
          <w:numId w:val="1006"/>
        </w:numPr>
      </w:pPr>
      <w:r>
        <w:t xml:space="preserve">Sales and other expenses staying stable as a percentage of bookings;</w:t>
      </w:r>
    </w:p>
    <w:p>
      <w:pPr>
        <w:pStyle w:val="Compact"/>
        <w:numPr>
          <w:ilvl w:val="0"/>
          <w:numId w:val="1006"/>
        </w:numPr>
      </w:pPr>
      <w:r>
        <w:t xml:space="preserve">No material deterioration in credit losses or chargebacks.</w:t>
      </w:r>
    </w:p>
    <w:p>
      <w:pPr>
        <w:pStyle w:val="FirstParagraph"/>
      </w:pPr>
      <w:r>
        <w:t xml:space="preserve">The longer-term growth story remains the</w:t>
      </w:r>
      <w:r>
        <w:t xml:space="preserve"> </w:t>
      </w:r>
      <w:r>
        <w:rPr>
          <w:b/>
          <w:bCs/>
        </w:rPr>
        <w:t xml:space="preserve">Connected Trip</w:t>
      </w:r>
      <w:r>
        <w:t xml:space="preserve">:</w:t>
      </w:r>
    </w:p>
    <w:p>
      <w:pPr>
        <w:pStyle w:val="Compact"/>
        <w:numPr>
          <w:ilvl w:val="0"/>
          <w:numId w:val="1007"/>
        </w:numPr>
      </w:pPr>
      <w:r>
        <w:t xml:space="preserve">Q1 connected transactions grew in the high teens;</w:t>
      </w:r>
    </w:p>
    <w:p>
      <w:pPr>
        <w:pStyle w:val="Compact"/>
        <w:numPr>
          <w:ilvl w:val="0"/>
          <w:numId w:val="1007"/>
        </w:numPr>
      </w:pPr>
      <w:r>
        <w:t xml:space="preserve">They represented a low-double-digit percentage of Booking.com transactions;</w:t>
      </w:r>
    </w:p>
    <w:p>
      <w:pPr>
        <w:pStyle w:val="Compact"/>
        <w:numPr>
          <w:ilvl w:val="0"/>
          <w:numId w:val="1007"/>
        </w:numPr>
      </w:pPr>
      <w:r>
        <w:t xml:space="preserve">Airline tickets increased 28%;</w:t>
      </w:r>
    </w:p>
    <w:p>
      <w:pPr>
        <w:pStyle w:val="Compact"/>
        <w:numPr>
          <w:ilvl w:val="0"/>
          <w:numId w:val="1007"/>
        </w:numPr>
      </w:pPr>
      <w:r>
        <w:t xml:space="preserve">Attractions tickets increased roughly 25%;</w:t>
      </w:r>
    </w:p>
    <w:p>
      <w:pPr>
        <w:pStyle w:val="Compact"/>
        <w:numPr>
          <w:ilvl w:val="0"/>
          <w:numId w:val="1007"/>
        </w:numPr>
      </w:pPr>
      <w:r>
        <w:t xml:space="preserve">Higher-tier Genius members accounted for a high-50% share of Booking.com room nights.</w:t>
      </w:r>
    </w:p>
    <w:p>
      <w:pPr>
        <w:pStyle w:val="FirstParagraph"/>
      </w:pPr>
      <w:r>
        <w:t xml:space="preserve">Investors should prioritize measurable developments—transaction mix, repeat rates, conversion and incremental margins—over general statements about product expansion.</w:t>
      </w:r>
    </w:p>
    <w:p>
      <w:r>
        <w:pict>
          <v:rect style="width:0;height:1.5pt" o:hralign="center" o:hrstd="t" o:hr="t"/>
        </w:pict>
      </w:r>
    </w:p>
    <w:bookmarkEnd w:id="20"/>
    <w:bookmarkStart w:id="21" w:name="X08fa405dc8418ac09b709fbe7d1d22d7f77ddef"/>
    <w:p>
      <w:pPr>
        <w:pStyle w:val="Heading2"/>
      </w:pPr>
      <w:r>
        <w:t xml:space="preserve">AI: strategically relevant, financially early</w:t>
      </w:r>
    </w:p>
    <w:p>
      <w:pPr>
        <w:pStyle w:val="FirstParagraph"/>
      </w:pPr>
      <w:r>
        <w:t xml:space="preserve">Management has highlighted Priceline’s Penny assistant, Booking.com natural-language search, customer-service automation and partnerships with major AI platforms.</w:t>
      </w:r>
    </w:p>
    <w:p>
      <w:pPr>
        <w:pStyle w:val="BodyText"/>
      </w:pPr>
      <w:r>
        <w:t xml:space="preserve">The near-term financial benefit appears more tangible in</w:t>
      </w:r>
      <w:r>
        <w:t xml:space="preserve"> </w:t>
      </w:r>
      <w:r>
        <w:rPr>
          <w:b/>
          <w:bCs/>
        </w:rPr>
        <w:t xml:space="preserve">cost efficiency</w:t>
      </w:r>
      <w:r>
        <w:t xml:space="preserve"> </w:t>
      </w:r>
      <w:r>
        <w:t xml:space="preserve">than in incremental bookings. Agoda, for example, reported a double-digit reduction in customer-service cost per booking in Q1, partly from AI-assisted automation.</w:t>
      </w:r>
    </w:p>
    <w:p>
      <w:pPr>
        <w:pStyle w:val="BodyText"/>
      </w:pPr>
      <w:r>
        <w:t xml:space="preserve">Useful disclosures would include:</w:t>
      </w:r>
    </w:p>
    <w:p>
      <w:pPr>
        <w:pStyle w:val="Compact"/>
        <w:numPr>
          <w:ilvl w:val="0"/>
          <w:numId w:val="1008"/>
        </w:numPr>
      </w:pPr>
      <w:r>
        <w:t xml:space="preserve">Conversion improvement among users engaging with AI features;</w:t>
      </w:r>
    </w:p>
    <w:p>
      <w:pPr>
        <w:pStyle w:val="Compact"/>
        <w:numPr>
          <w:ilvl w:val="0"/>
          <w:numId w:val="1008"/>
        </w:numPr>
      </w:pPr>
      <w:r>
        <w:t xml:space="preserve">Lower cancellation or customer-contact rates;</w:t>
      </w:r>
    </w:p>
    <w:p>
      <w:pPr>
        <w:pStyle w:val="Compact"/>
        <w:numPr>
          <w:ilvl w:val="0"/>
          <w:numId w:val="1008"/>
        </w:numPr>
      </w:pPr>
      <w:r>
        <w:t xml:space="preserve">Adoption beyond small test groups;</w:t>
      </w:r>
    </w:p>
    <w:p>
      <w:pPr>
        <w:pStyle w:val="Compact"/>
        <w:numPr>
          <w:ilvl w:val="0"/>
          <w:numId w:val="1008"/>
        </w:numPr>
      </w:pPr>
      <w:r>
        <w:t xml:space="preserve">Customer-service savings across the broader company;</w:t>
      </w:r>
    </w:p>
    <w:p>
      <w:pPr>
        <w:pStyle w:val="Compact"/>
        <w:numPr>
          <w:ilvl w:val="0"/>
          <w:numId w:val="1008"/>
        </w:numPr>
      </w:pPr>
      <w:r>
        <w:t xml:space="preserve">Whether third-party AI interfaces are becoming incremental demand channels or simply replacing existing search traffic.</w:t>
      </w:r>
    </w:p>
    <w:p>
      <w:pPr>
        <w:pStyle w:val="FirstParagraph"/>
      </w:pPr>
      <w:r>
        <w:t xml:space="preserve">Without those metrics, AI remains more of a strategic positioning discussion than a basis for changing near-term estimates.</w:t>
      </w:r>
    </w:p>
    <w:p>
      <w:r>
        <w:pict>
          <v:rect style="width:0;height:1.5pt" o:hralign="center" o:hrstd="t" o:hr="t"/>
        </w:pict>
      </w:r>
    </w:p>
    <w:bookmarkEnd w:id="21"/>
    <w:bookmarkStart w:id="25" w:name="full-year-guidance-is-the-real-hurdle"/>
    <w:p>
      <w:pPr>
        <w:pStyle w:val="Heading2"/>
      </w:pPr>
      <w:r>
        <w:t xml:space="preserve">Full-year guidance is the real hurdle</w:t>
      </w:r>
    </w:p>
    <w:p>
      <w:pPr>
        <w:pStyle w:val="FirstParagraph"/>
      </w:pPr>
      <w:r>
        <w:t xml:space="preserve">After Q1, Booking guided to:</w:t>
      </w:r>
    </w:p>
    <w:p>
      <w:pPr>
        <w:pStyle w:val="Compact"/>
        <w:numPr>
          <w:ilvl w:val="0"/>
          <w:numId w:val="1009"/>
        </w:numPr>
      </w:pPr>
      <w:r>
        <w:rPr>
          <w:b/>
          <w:bCs/>
        </w:rPr>
        <w:t xml:space="preserve">Gross bookings:</w:t>
      </w:r>
      <w:r>
        <w:t xml:space="preserve"> </w:t>
      </w:r>
      <w:r>
        <w:t xml:space="preserve">high-single-digit to low-double-digit growth;</w:t>
      </w:r>
    </w:p>
    <w:p>
      <w:pPr>
        <w:pStyle w:val="Compact"/>
        <w:numPr>
          <w:ilvl w:val="0"/>
          <w:numId w:val="1009"/>
        </w:numPr>
      </w:pPr>
      <w:r>
        <w:rPr>
          <w:b/>
          <w:bCs/>
        </w:rPr>
        <w:t xml:space="preserve">Revenue:</w:t>
      </w:r>
      <w:r>
        <w:t xml:space="preserve"> </w:t>
      </w:r>
      <w:r>
        <w:t xml:space="preserve">high-single-digit growth;</w:t>
      </w:r>
    </w:p>
    <w:p>
      <w:pPr>
        <w:pStyle w:val="Compact"/>
        <w:numPr>
          <w:ilvl w:val="0"/>
          <w:numId w:val="1009"/>
        </w:numPr>
      </w:pPr>
      <w:r>
        <w:rPr>
          <w:b/>
          <w:bCs/>
        </w:rPr>
        <w:t xml:space="preserve">Adjusted EBITDA:</w:t>
      </w:r>
      <w:r>
        <w:t xml:space="preserve"> </w:t>
      </w:r>
      <w:r>
        <w:t xml:space="preserve">slightly faster growth than revenue;</w:t>
      </w:r>
    </w:p>
    <w:p>
      <w:pPr>
        <w:pStyle w:val="Compact"/>
        <w:numPr>
          <w:ilvl w:val="0"/>
          <w:numId w:val="1009"/>
        </w:numPr>
      </w:pPr>
      <w:r>
        <w:rPr>
          <w:b/>
          <w:bCs/>
        </w:rPr>
        <w:t xml:space="preserve">Adjusted EBITDA margin:</w:t>
      </w:r>
      <w:r>
        <w:t xml:space="preserve"> </w:t>
      </w:r>
      <w:r>
        <w:t xml:space="preserve">flat to approximately 25 basis points higher;</w:t>
      </w:r>
    </w:p>
    <w:p>
      <w:pPr>
        <w:pStyle w:val="Compact"/>
        <w:numPr>
          <w:ilvl w:val="0"/>
          <w:numId w:val="1009"/>
        </w:numPr>
      </w:pPr>
      <w:r>
        <w:rPr>
          <w:b/>
          <w:bCs/>
        </w:rPr>
        <w:t xml:space="preserve">Adjusted EPS:</w:t>
      </w:r>
      <w:r>
        <w:t xml:space="preserve"> </w:t>
      </w:r>
      <w:r>
        <w:t xml:space="preserve">low- to mid-teens growth.</w:t>
      </w:r>
    </w:p>
    <w:p>
      <w:pPr>
        <w:pStyle w:val="FirstParagraph"/>
      </w:pPr>
      <w:r>
        <w:t xml:space="preserve">This was already a reduction at the midpoint from the company’s original 2026 outlook, although the high ends of gross-bookings and EPS guidance were retained.</w:t>
      </w:r>
    </w:p>
    <w:p>
      <w:pPr>
        <w:pStyle w:val="BodyText"/>
      </w:pPr>
      <w:r>
        <w:t xml:space="preserve">The report can be classified as follows:</w:t>
      </w:r>
    </w:p>
    <w:bookmarkStart w:id="22" w:name="bullish"/>
    <w:p>
      <w:pPr>
        <w:pStyle w:val="Heading3"/>
      </w:pPr>
      <w:r>
        <w:t xml:space="preserve">Bullish</w:t>
      </w:r>
    </w:p>
    <w:p>
      <w:pPr>
        <w:pStyle w:val="Compact"/>
        <w:numPr>
          <w:ilvl w:val="0"/>
          <w:numId w:val="1010"/>
        </w:numPr>
      </w:pPr>
      <w:r>
        <w:t xml:space="preserve">Q2 metrics beat the high end;</w:t>
      </w:r>
    </w:p>
    <w:p>
      <w:pPr>
        <w:pStyle w:val="Compact"/>
        <w:numPr>
          <w:ilvl w:val="0"/>
          <w:numId w:val="1010"/>
        </w:numPr>
      </w:pPr>
      <w:r>
        <w:t xml:space="preserve">Current room-night growth accelerates meaningfully;</w:t>
      </w:r>
    </w:p>
    <w:p>
      <w:pPr>
        <w:pStyle w:val="Compact"/>
        <w:numPr>
          <w:ilvl w:val="0"/>
          <w:numId w:val="1010"/>
        </w:numPr>
      </w:pPr>
      <w:r>
        <w:t xml:space="preserve">Management maintains full-year guidance despite extending its conflict assumption;</w:t>
      </w:r>
    </w:p>
    <w:p>
      <w:pPr>
        <w:pStyle w:val="Compact"/>
        <w:numPr>
          <w:ilvl w:val="0"/>
          <w:numId w:val="1010"/>
        </w:numPr>
      </w:pPr>
      <w:r>
        <w:t xml:space="preserve">Marketing leverage resumes;</w:t>
      </w:r>
    </w:p>
    <w:p>
      <w:pPr>
        <w:pStyle w:val="Compact"/>
        <w:numPr>
          <w:ilvl w:val="0"/>
          <w:numId w:val="1010"/>
        </w:numPr>
      </w:pPr>
      <w:r>
        <w:t xml:space="preserve">U.S. and intra-Asia growth remain strong.</w:t>
      </w:r>
    </w:p>
    <w:bookmarkEnd w:id="22"/>
    <w:bookmarkStart w:id="23" w:name="neutral"/>
    <w:p>
      <w:pPr>
        <w:pStyle w:val="Heading3"/>
      </w:pPr>
      <w:r>
        <w:t xml:space="preserve">Neutral</w:t>
      </w:r>
    </w:p>
    <w:p>
      <w:pPr>
        <w:pStyle w:val="Compact"/>
        <w:numPr>
          <w:ilvl w:val="0"/>
          <w:numId w:val="1011"/>
        </w:numPr>
      </w:pPr>
      <w:r>
        <w:t xml:space="preserve">Q2 lands within guidance;</w:t>
      </w:r>
    </w:p>
    <w:p>
      <w:pPr>
        <w:pStyle w:val="Compact"/>
        <w:numPr>
          <w:ilvl w:val="0"/>
          <w:numId w:val="1011"/>
        </w:numPr>
      </w:pPr>
      <w:r>
        <w:t xml:space="preserve">Full-year ranges are maintained;</w:t>
      </w:r>
    </w:p>
    <w:p>
      <w:pPr>
        <w:pStyle w:val="Compact"/>
        <w:numPr>
          <w:ilvl w:val="0"/>
          <w:numId w:val="1011"/>
        </w:numPr>
      </w:pPr>
      <w:r>
        <w:t xml:space="preserve">Q3 reflects only gradual improvement;</w:t>
      </w:r>
    </w:p>
    <w:p>
      <w:pPr>
        <w:pStyle w:val="Compact"/>
        <w:numPr>
          <w:ilvl w:val="0"/>
          <w:numId w:val="1011"/>
        </w:numPr>
      </w:pPr>
      <w:r>
        <w:t xml:space="preserve">Cost controls offset most of the revenue pressure.</w:t>
      </w:r>
    </w:p>
    <w:bookmarkEnd w:id="23"/>
    <w:bookmarkStart w:id="24" w:name="bearish"/>
    <w:p>
      <w:pPr>
        <w:pStyle w:val="Heading3"/>
      </w:pPr>
      <w:r>
        <w:t xml:space="preserve">Bearish</w:t>
      </w:r>
    </w:p>
    <w:p>
      <w:pPr>
        <w:pStyle w:val="Compact"/>
        <w:numPr>
          <w:ilvl w:val="0"/>
          <w:numId w:val="1012"/>
        </w:numPr>
      </w:pPr>
      <w:r>
        <w:t xml:space="preserve">Room-night growth falls below 2%;</w:t>
      </w:r>
    </w:p>
    <w:p>
      <w:pPr>
        <w:pStyle w:val="Compact"/>
        <w:numPr>
          <w:ilvl w:val="0"/>
          <w:numId w:val="1012"/>
        </w:numPr>
      </w:pPr>
      <w:r>
        <w:t xml:space="preserve">Cancellations or weak ADRs pressure bookings and revenue;</w:t>
      </w:r>
    </w:p>
    <w:p>
      <w:pPr>
        <w:pStyle w:val="Compact"/>
        <w:numPr>
          <w:ilvl w:val="0"/>
          <w:numId w:val="1012"/>
        </w:numPr>
      </w:pPr>
      <w:r>
        <w:t xml:space="preserve">Marketing deleverage persists;</w:t>
      </w:r>
    </w:p>
    <w:p>
      <w:pPr>
        <w:pStyle w:val="Compact"/>
        <w:numPr>
          <w:ilvl w:val="0"/>
          <w:numId w:val="1012"/>
        </w:numPr>
      </w:pPr>
      <w:r>
        <w:t xml:space="preserve">Management lowers full-year gross-bookings, margin or EPS guidance;</w:t>
      </w:r>
    </w:p>
    <w:p>
      <w:pPr>
        <w:pStyle w:val="Compact"/>
        <w:numPr>
          <w:ilvl w:val="0"/>
          <w:numId w:val="1012"/>
        </w:numPr>
      </w:pPr>
      <w:r>
        <w:t xml:space="preserve">Disruption spreads beyond Middle East-related routes into broader European or Asian demand.</w:t>
      </w:r>
    </w:p>
    <w:p>
      <w:r>
        <w:pict>
          <v:rect style="width:0;height:1.5pt" o:hralign="center" o:hrstd="t" o:hr="t"/>
        </w:pict>
      </w:r>
    </w:p>
    <w:bookmarkEnd w:id="24"/>
    <w:bookmarkEnd w:id="25"/>
    <w:bookmarkStart w:id="26" w:name="capital-allocation-and-valuation"/>
    <w:p>
      <w:pPr>
        <w:pStyle w:val="Heading2"/>
      </w:pPr>
      <w:r>
        <w:t xml:space="preserve">Capital allocation and valuation</w:t>
      </w:r>
    </w:p>
    <w:p>
      <w:pPr>
        <w:pStyle w:val="FirstParagraph"/>
      </w:pPr>
      <w:r>
        <w:t xml:space="preserve">Booking repurchased a record</w:t>
      </w:r>
      <w:r>
        <w:t xml:space="preserve"> </w:t>
      </w:r>
      <m:oMath>
        <m:r>
          <m:t>3.6</m:t>
        </m:r>
        <m:r>
          <m:t>b</m:t>
        </m:r>
        <m:r>
          <m:t>i</m:t>
        </m:r>
        <m:r>
          <m:t>l</m:t>
        </m:r>
        <m:r>
          <m:t>l</m:t>
        </m:r>
        <m:r>
          <m:t>i</m:t>
        </m:r>
        <m:r>
          <m:t>o</m:t>
        </m:r>
        <m:r>
          <m:t>n</m:t>
        </m:r>
        <m:r>
          <m:rPr>
            <m:sty m:val="p"/>
          </m:rPr>
          <m:t>*</m:t>
        </m:r>
        <m:r>
          <m:rPr>
            <m:sty m:val="p"/>
          </m:rPr>
          <m:t>*</m:t>
        </m:r>
        <m:r>
          <m:t>o</m:t>
        </m:r>
        <m:r>
          <m:t>f</m:t>
        </m:r>
        <m:r>
          <m:t>s</m:t>
        </m:r>
        <m:r>
          <m:t>t</m:t>
        </m:r>
        <m:r>
          <m:t>o</m:t>
        </m:r>
        <m:r>
          <m:t>c</m:t>
        </m:r>
        <m:r>
          <m:t>k</m:t>
        </m:r>
        <m:r>
          <m:t>i</m:t>
        </m:r>
        <m:r>
          <m:t>n</m:t>
        </m:r>
        <m:r>
          <m:t>Q</m:t>
        </m:r>
        <m:r>
          <m:t>1</m:t>
        </m:r>
        <m:r>
          <m:t>a</m:t>
        </m:r>
        <m:r>
          <m:t>n</m:t>
        </m:r>
        <m:r>
          <m:t>d</m:t>
        </m:r>
        <m:r>
          <m:t>h</m:t>
        </m:r>
        <m:r>
          <m:t>a</m:t>
        </m:r>
        <m:r>
          <m:t>d</m:t>
        </m:r>
        <m:r>
          <m:rPr>
            <m:sty m:val="p"/>
          </m:rPr>
          <m:t>*</m:t>
        </m:r>
        <m:r>
          <m:rPr>
            <m:sty m:val="p"/>
          </m:rPr>
          <m:t>*</m:t>
        </m:r>
      </m:oMath>
      <w:r>
        <w:rPr>
          <w:b/>
          <w:bCs/>
        </w:rPr>
        <w:t xml:space="preserve">18.2 billion</w:t>
      </w:r>
      <w:r>
        <w:t xml:space="preserve"> </w:t>
      </w:r>
      <w:r>
        <w:t xml:space="preserve">remaining under its authorization at March 31. The company subsequently completed a €1.9 billion senior-notes offering in May.</w:t>
      </w:r>
    </w:p>
    <w:p>
      <w:pPr>
        <w:pStyle w:val="BodyText"/>
      </w:pPr>
      <w:r>
        <w:t xml:space="preserve">Investors should watch:</w:t>
      </w:r>
    </w:p>
    <w:p>
      <w:pPr>
        <w:pStyle w:val="Compact"/>
        <w:numPr>
          <w:ilvl w:val="0"/>
          <w:numId w:val="1013"/>
        </w:numPr>
      </w:pPr>
      <w:r>
        <w:t xml:space="preserve">Q2 repurchase volume and average price;</w:t>
      </w:r>
    </w:p>
    <w:p>
      <w:pPr>
        <w:pStyle w:val="Compact"/>
        <w:numPr>
          <w:ilvl w:val="0"/>
          <w:numId w:val="1013"/>
        </w:numPr>
      </w:pPr>
      <w:r>
        <w:t xml:space="preserve">Updated diluted share count;</w:t>
      </w:r>
    </w:p>
    <w:p>
      <w:pPr>
        <w:pStyle w:val="Compact"/>
        <w:numPr>
          <w:ilvl w:val="0"/>
          <w:numId w:val="1013"/>
        </w:numPr>
      </w:pPr>
      <w:r>
        <w:t xml:space="preserve">Whether the company continues aggressive repurchases after the recent stock rebound;</w:t>
      </w:r>
    </w:p>
    <w:p>
      <w:pPr>
        <w:pStyle w:val="Compact"/>
        <w:numPr>
          <w:ilvl w:val="0"/>
          <w:numId w:val="1013"/>
        </w:numPr>
      </w:pPr>
      <w:r>
        <w:t xml:space="preserve">Any change in leverage or liquidity targets.</w:t>
      </w:r>
    </w:p>
    <w:p>
      <w:pPr>
        <w:pStyle w:val="FirstParagraph"/>
      </w:pPr>
      <w:r>
        <w:t xml:space="preserve">BKNG closed at</w:t>
      </w:r>
      <w:r>
        <w:t xml:space="preserve"> </w:t>
      </w:r>
      <w:r>
        <w:rPr>
          <w:b/>
          <w:bCs/>
        </w:rPr>
        <w:t xml:space="preserve">$192.74 on August 3</w:t>
      </w:r>
      <w:r>
        <w:t xml:space="preserve">, approximately:</w:t>
      </w:r>
    </w:p>
    <w:p>
      <w:pPr>
        <w:pStyle w:val="Compact"/>
        <w:numPr>
          <w:ilvl w:val="0"/>
          <w:numId w:val="1014"/>
        </w:numPr>
      </w:pPr>
      <w:r>
        <w:rPr>
          <w:b/>
          <w:bCs/>
        </w:rPr>
        <w:t xml:space="preserve">10% below</w:t>
      </w:r>
      <w:r>
        <w:t xml:space="preserve"> </w:t>
      </w:r>
      <w:r>
        <w:t xml:space="preserve">its December 31, 2025 close;</w:t>
      </w:r>
    </w:p>
    <w:p>
      <w:pPr>
        <w:pStyle w:val="Compact"/>
        <w:numPr>
          <w:ilvl w:val="0"/>
          <w:numId w:val="1014"/>
        </w:numPr>
      </w:pPr>
      <w:r>
        <w:rPr>
          <w:b/>
          <w:bCs/>
        </w:rPr>
        <w:t xml:space="preserve">9% above</w:t>
      </w:r>
      <w:r>
        <w:t xml:space="preserve"> </w:t>
      </w:r>
      <w:r>
        <w:t xml:space="preserve">its July 24 close.</w:t>
      </w:r>
    </w:p>
    <w:p>
      <w:pPr>
        <w:pStyle w:val="FirstParagraph"/>
      </w:pPr>
      <w:r>
        <w:t xml:space="preserve">On the split-adjusted 2025 adjusted EPS of about $9.12, the stock trades at roughly</w:t>
      </w:r>
      <w:r>
        <w:t xml:space="preserve"> </w:t>
      </w:r>
      <w:r>
        <w:rPr>
          <w:b/>
          <w:bCs/>
        </w:rPr>
        <w:t xml:space="preserve">21 times trailing adjusted earnings</w:t>
      </w:r>
      <w:r>
        <w:t xml:space="preserve">. Applying management’s low- to mid-teens 2026 EPS-growth guidance produces a rough forward multiple of</w:t>
      </w:r>
      <w:r>
        <w:t xml:space="preserve"> </w:t>
      </w:r>
      <w:r>
        <w:rPr>
          <w:b/>
          <w:bCs/>
        </w:rPr>
        <w:t xml:space="preserve">18–19 times</w:t>
      </w:r>
      <w:r>
        <w:t xml:space="preserve">. That valuation is not extreme for Booking’s cash generation and buyback capacity, but it requires confidence that high-single-digit top-line growth can resume after the conflict-related slowdown.</w:t>
      </w:r>
    </w:p>
    <w:p>
      <w:r>
        <w:pict>
          <v:rect style="width:0;height:1.5pt" o:hralign="center" o:hrstd="t" o:hr="t"/>
        </w:pict>
      </w:r>
    </w:p>
    <w:bookmarkEnd w:id="26"/>
    <w:bookmarkStart w:id="27" w:name="bottom-line"/>
    <w:p>
      <w:pPr>
        <w:pStyle w:val="Heading2"/>
      </w:pPr>
      <w:r>
        <w:t xml:space="preserve">Bottom line</w:t>
      </w:r>
    </w:p>
    <w:p>
      <w:pPr>
        <w:pStyle w:val="FirstParagraph"/>
      </w:pPr>
      <w:r>
        <w:t xml:space="preserve">The cleanest bullish thesis is that</w:t>
      </w:r>
      <w:r>
        <w:t xml:space="preserve"> </w:t>
      </w:r>
      <w:r>
        <w:rPr>
          <w:b/>
          <w:bCs/>
        </w:rPr>
        <w:t xml:space="preserve">Q2 represents the trough</w:t>
      </w:r>
      <w:r>
        <w:t xml:space="preserve">: Booking remains within guidance despite major disruption, underlying room-night growth is around 5%–7%, U.S. share gains continue, and second-half demand is beginning to recover.</w:t>
      </w:r>
    </w:p>
    <w:p>
      <w:pPr>
        <w:pStyle w:val="BodyText"/>
      </w:pPr>
      <w:r>
        <w:t xml:space="preserve">The main risk is that management’s original recovery assumption was too early. Continued July disruptions mean investors should place substantially more weight on</w:t>
      </w:r>
      <w:r>
        <w:t xml:space="preserve"> </w:t>
      </w:r>
      <w:r>
        <w:rPr>
          <w:b/>
          <w:bCs/>
        </w:rPr>
        <w:t xml:space="preserve">Q3 room-night guidance and current booking trends</w:t>
      </w:r>
      <w:r>
        <w:t xml:space="preserve"> </w:t>
      </w:r>
      <w:r>
        <w:t xml:space="preserve">than on whether Q2 revenue or EPS beats by a few percentage points.</w:t>
      </w:r>
    </w:p>
    <w:p>
      <w:pPr>
        <w:pStyle w:val="BodyText"/>
      </w:pPr>
      <w:r>
        <w:rPr>
          <w:b/>
          <w:bCs/>
        </w:rPr>
        <w:t xml:space="preserve">Most important number:</w:t>
      </w:r>
      <w:r>
        <w:t xml:space="preserve"> </w:t>
      </w:r>
      <w:r>
        <w:t xml:space="preserve">Q3 room-night growth guidance.</w:t>
      </w:r>
      <w:r>
        <w:br/>
      </w:r>
      <w:r>
        <w:rPr>
          <w:b/>
          <w:bCs/>
        </w:rPr>
        <w:t xml:space="preserve">Most important qualitative comment:</w:t>
      </w:r>
      <w:r>
        <w:t xml:space="preserve"> </w:t>
      </w:r>
      <w:r>
        <w:t xml:space="preserve">Whether the Middle East impact is stabilizing, worsening or broadening into other travel markets.</w:t>
      </w:r>
      <w:r>
        <w:br/>
      </w:r>
      <w:r>
        <w:rPr>
          <w:b/>
          <w:bCs/>
        </w:rPr>
        <w:t xml:space="preserve">Best confirmation of the long-term thesis:</w:t>
      </w:r>
      <w:r>
        <w:t xml:space="preserve"> </w:t>
      </w:r>
      <w:r>
        <w:t xml:space="preserve">Continued U.S. outperformance plus marketing leverage and measurable Connected Trip adoption.</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bookingholdings.com/news/news-details/2026/Booking-Holdings-to-Webcast-Second-Quarter-2026-Financial-Results-on-August-4/default.aspx" TargetMode="External" /><Relationship Type="http://schemas.openxmlformats.org/officeDocument/2006/relationships/hyperlink" Id="rId10" Target="https://www.iata.org/en/publications/economics/chart-week/chart-of-the-week-3-july-2026/?utm_source=openai" TargetMode="External" /><Relationship Type="http://schemas.openxmlformats.org/officeDocument/2006/relationships/hyperlink" Id="rId13" Target="https://www.investing.com/news/stock-market-news/factboxairlines-resume-some-middle-east-flights-but-disruption-continues-4771032?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r.bookingholdings.com/news/news-details/2026/Booking-Holdings-to-Webcast-Second-Quarter-2026-Financial-Results-on-August-4/default.aspx" TargetMode="External" /><Relationship Type="http://schemas.openxmlformats.org/officeDocument/2006/relationships/hyperlink" Id="rId10" Target="https://www.iata.org/en/publications/economics/chart-week/chart-of-the-week-3-july-2026/?utm_source=openai" TargetMode="External" /><Relationship Type="http://schemas.openxmlformats.org/officeDocument/2006/relationships/hyperlink" Id="rId13" Target="https://www.investing.com/news/stock-market-news/factboxairlines-resume-some-middle-east-flights-but-disruption-continues-4771032?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2026-08-04T01:39:26Z</dcterms:created>
  <dcterms:modified xsi:type="dcterms:W3CDTF">2026-08-04T01:39:26Z</dcterms:modified>
</cp:coreProperties>
</file>

<file path=docProps/custom.xml><?xml version="1.0" encoding="utf-8"?>
<Properties xmlns="http://schemas.openxmlformats.org/officeDocument/2006/custom-properties" xmlns:vt="http://schemas.openxmlformats.org/officeDocument/2006/docPropsVTypes"/>
</file>