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b12d6249d082812e243ca9348ad559a1d94838b"/>
    <w:p>
      <w:pPr>
        <w:pStyle w:val="Heading1"/>
      </w:pPr>
      <w:r>
        <w:t xml:space="preserve">Booking Holdings (NASDAQ: BKNG) — 2Q26 Earnings Preview</w:t>
      </w:r>
    </w:p>
    <w:p>
      <w:pPr>
        <w:pStyle w:val="BlockText"/>
      </w:pPr>
      <w:r>
        <w:rPr>
          <w:b/>
          <w:bCs/>
        </w:rPr>
        <w:t xml:space="preserve">Timing note:</w:t>
      </w:r>
      <w:r>
        <w:t xml:space="preserve"> </w:t>
      </w:r>
      <w:r>
        <w:t xml:space="preserve">Today is</w:t>
      </w:r>
      <w:r>
        <w:t xml:space="preserve"> </w:t>
      </w:r>
      <w:r>
        <w:rPr>
          <w:b/>
          <w:bCs/>
        </w:rPr>
        <w:t xml:space="preserve">Tuesday, August 4, 2026</w:t>
      </w:r>
      <w:r>
        <w:t xml:space="preserve">. The event date provided—</w:t>
      </w:r>
      <w:r>
        <w:rPr>
          <w:b/>
          <w:bCs/>
        </w:rPr>
        <w:t xml:space="preserve">August 4, 2026</w:t>
      </w:r>
      <w:r>
        <w:t xml:space="preserve">—is therefore</w:t>
      </w:r>
      <w:r>
        <w:t xml:space="preserve"> </w:t>
      </w:r>
      <w:r>
        <w:rPr>
          <w:b/>
          <w:bCs/>
        </w:rPr>
        <w:t xml:space="preserve">today, not tomorrow</w:t>
      </w:r>
      <w:r>
        <w:t xml:space="preserve">. This preview is framed ahead of BKNG’s reported 2Q26 earnings call.</w:t>
      </w:r>
    </w:p>
    <w:bookmarkStart w:id="9" w:name="X84606c50e61e83df257104d9c2d44949b4de053"/>
    <w:p>
      <w:pPr>
        <w:pStyle w:val="Heading2"/>
      </w:pPr>
      <w:r>
        <w:t xml:space="preserve">Investment view: the quarter is less important than the reset to the second-half narrative</w:t>
      </w:r>
    </w:p>
    <w:p>
      <w:pPr>
        <w:pStyle w:val="FirstParagraph"/>
      </w:pPr>
      <w:r>
        <w:t xml:space="preserve">BKNG enters 2Q earnings with a relatively low operational bar but a much more consequential outlook question. Management’s April guidance assumed that the direct and indirect disruption from the Middle East conflict would persist only through June, followed by a recovery in bookings during the second half. That assumption now looks stale: conflict-related disruptions and Strait of Hormuz uncertainty remained active into late July and early August.</w:t>
      </w:r>
    </w:p>
    <w:p>
      <w:pPr>
        <w:pStyle w:val="BodyText"/>
      </w:pPr>
      <w:r>
        <w:t xml:space="preserve">The core investor debate is therefore:</w:t>
      </w:r>
    </w:p>
    <w:p>
      <w:pPr>
        <w:pStyle w:val="Compact"/>
        <w:numPr>
          <w:ilvl w:val="0"/>
          <w:numId w:val="1001"/>
        </w:numPr>
      </w:pPr>
      <w:r>
        <w:rPr>
          <w:b/>
          <w:bCs/>
        </w:rPr>
        <w:t xml:space="preserve">Did BKNG execute at or above its deliberately conservative 2Q guide despite the disruption?</w:t>
      </w:r>
    </w:p>
    <w:p>
      <w:pPr>
        <w:pStyle w:val="Compact"/>
        <w:numPr>
          <w:ilvl w:val="0"/>
          <w:numId w:val="1001"/>
        </w:numPr>
      </w:pPr>
      <w:r>
        <w:rPr>
          <w:b/>
          <w:bCs/>
        </w:rPr>
        <w:t xml:space="preserve">Has travel demand normalized enough outside the affected routes and regions to support the prior full-year framework?</w:t>
      </w:r>
    </w:p>
    <w:p>
      <w:pPr>
        <w:pStyle w:val="Compact"/>
        <w:numPr>
          <w:ilvl w:val="0"/>
          <w:numId w:val="1001"/>
        </w:numPr>
      </w:pPr>
      <w:r>
        <w:rPr>
          <w:b/>
          <w:bCs/>
        </w:rPr>
        <w:t xml:space="preserve">Will continued geopolitical disruption force BKNG to reduce its 2026 outlook, especially its expectation for gross bookings and adjusted EPS growth?</w:t>
      </w:r>
    </w:p>
    <w:p>
      <w:pPr>
        <w:pStyle w:val="FirstParagraph"/>
      </w:pPr>
      <w:r>
        <w:t xml:space="preserve">My base case is that BKNG can meet its guided 2Q ranges, supported by resilient U.S., intra-Europe, and intra-Asia demand, FX support, and disciplined cost management. However, a simple in-line quarter may not be enough for the shares if management must acknowledge that the original “recovery in the second half” assumption is no longer appropriate.</w:t>
      </w:r>
    </w:p>
    <w:p>
      <w:r>
        <w:pict>
          <v:rect style="width:0;height:1.5pt" o:hralign="center" o:hrstd="t" o:hr="t"/>
        </w:pict>
      </w:r>
    </w:p>
    <w:bookmarkEnd w:id="9"/>
    <w:bookmarkStart w:id="10" w:name="what-bkng-guided-for-2q26"/>
    <w:p>
      <w:pPr>
        <w:pStyle w:val="Heading2"/>
      </w:pPr>
      <w:r>
        <w:t xml:space="preserve">What BKNG guided for 2Q26</w:t>
      </w:r>
    </w:p>
    <w:p>
      <w:pPr>
        <w:pStyle w:val="FirstParagraph"/>
      </w:pPr>
      <w:r>
        <w:t xml:space="preserve">At its 1Q26 report, BKNG guided to:</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2Q26 guidance</w:t>
            </w:r>
          </w:p>
        </w:tc>
        <w:tc>
          <w:tcPr/>
          <w:p>
            <w:pPr>
              <w:pStyle w:val="Compact"/>
              <w:jc w:val="right"/>
            </w:pPr>
            <w:r>
              <w:t xml:space="preserve">Implied 2Q26 range based on 2Q25</w:t>
            </w:r>
          </w:p>
        </w:tc>
      </w:tr>
      <w:tr>
        <w:tc>
          <w:tcPr/>
          <w:p>
            <w:pPr>
              <w:pStyle w:val="Compact"/>
            </w:pPr>
            <w:r>
              <w:t xml:space="preserve">Room-night growth</w:t>
            </w:r>
          </w:p>
        </w:tc>
        <w:tc>
          <w:tcPr/>
          <w:p>
            <w:pPr>
              <w:pStyle w:val="Compact"/>
              <w:jc w:val="right"/>
            </w:pPr>
            <w:r>
              <w:rPr>
                <w:b/>
                <w:bCs/>
              </w:rPr>
              <w:t xml:space="preserve">2%–4%</w:t>
            </w:r>
          </w:p>
        </w:tc>
        <w:tc>
          <w:tcPr/>
          <w:p>
            <w:pPr>
              <w:pStyle w:val="Compact"/>
              <w:jc w:val="right"/>
            </w:pPr>
            <w:r>
              <w:rPr>
                <w:b/>
                <w:bCs/>
              </w:rPr>
              <w:t xml:space="preserve">315M–321M</w:t>
            </w:r>
          </w:p>
        </w:tc>
      </w:tr>
      <w:tr>
        <w:tc>
          <w:tcPr/>
          <w:p>
            <w:pPr>
              <w:pStyle w:val="Compact"/>
            </w:pPr>
            <w:r>
              <w:t xml:space="preserve">Gross-bookings growth</w:t>
            </w:r>
          </w:p>
        </w:tc>
        <w:tc>
          <w:tcPr/>
          <w:p>
            <w:pPr>
              <w:pStyle w:val="Compact"/>
              <w:jc w:val="right"/>
            </w:pPr>
            <w:r>
              <w:rPr>
                <w:b/>
                <w:bCs/>
              </w:rPr>
              <w:t xml:space="preserve">4%–6%</w:t>
            </w:r>
          </w:p>
        </w:tc>
        <w:tc>
          <w:tcPr/>
          <w:p>
            <w:pPr>
              <w:pStyle w:val="Compact"/>
              <w:jc w:val="right"/>
            </w:pPr>
            <m:oMath>
              <m:r>
                <m:t>48.6</m:t>
              </m:r>
              <m:r>
                <m:t>B</m:t>
              </m:r>
              <m:r>
                <m:rPr>
                  <m:sty m:val="p"/>
                </m:rPr>
                <m:t>–</m:t>
              </m:r>
            </m:oMath>
            <w:r>
              <w:rPr>
                <w:b/>
                <w:bCs/>
              </w:rPr>
              <w:t xml:space="preserve">49.5B</w:t>
            </w:r>
          </w:p>
        </w:tc>
      </w:tr>
      <w:tr>
        <w:tc>
          <w:tcPr/>
          <w:p>
            <w:pPr>
              <w:pStyle w:val="Compact"/>
            </w:pPr>
            <w:r>
              <w:t xml:space="preserve">Revenue growth</w:t>
            </w:r>
          </w:p>
        </w:tc>
        <w:tc>
          <w:tcPr/>
          <w:p>
            <w:pPr>
              <w:pStyle w:val="Compact"/>
              <w:jc w:val="right"/>
            </w:pPr>
            <w:r>
              <w:rPr>
                <w:b/>
                <w:bCs/>
              </w:rPr>
              <w:t xml:space="preserve">4%–6%</w:t>
            </w:r>
          </w:p>
        </w:tc>
        <w:tc>
          <w:tcPr/>
          <w:p>
            <w:pPr>
              <w:pStyle w:val="Compact"/>
              <w:jc w:val="right"/>
            </w:pPr>
            <m:oMath>
              <m:r>
                <m:t>7.1</m:t>
              </m:r>
              <m:r>
                <m:t>B</m:t>
              </m:r>
              <m:r>
                <m:rPr>
                  <m:sty m:val="p"/>
                </m:rPr>
                <m:t>–</m:t>
              </m:r>
            </m:oMath>
            <w:r>
              <w:rPr>
                <w:b/>
                <w:bCs/>
              </w:rPr>
              <w:t xml:space="preserve">7.2B</w:t>
            </w:r>
          </w:p>
        </w:tc>
      </w:tr>
      <w:tr>
        <w:tc>
          <w:tcPr/>
          <w:p>
            <w:pPr>
              <w:pStyle w:val="Compact"/>
            </w:pPr>
            <w:r>
              <w:t xml:space="preserve">Adjusted EBITDA growth</w:t>
            </w:r>
          </w:p>
        </w:tc>
        <w:tc>
          <w:tcPr/>
          <w:p>
            <w:pPr>
              <w:pStyle w:val="Compact"/>
              <w:jc w:val="right"/>
            </w:pPr>
            <w:r>
              <w:rPr>
                <w:b/>
                <w:bCs/>
              </w:rPr>
              <w:t xml:space="preserve">4%–6%</w:t>
            </w:r>
          </w:p>
        </w:tc>
        <w:tc>
          <w:tcPr/>
          <w:p>
            <w:pPr>
              <w:pStyle w:val="Compact"/>
              <w:jc w:val="right"/>
            </w:pPr>
            <m:oMath>
              <m:r>
                <m:t>2.52</m:t>
              </m:r>
              <m:r>
                <m:t>B</m:t>
              </m:r>
              <m:r>
                <m:rPr>
                  <m:sty m:val="p"/>
                </m:rPr>
                <m:t>–</m:t>
              </m:r>
            </m:oMath>
            <w:r>
              <w:rPr>
                <w:b/>
                <w:bCs/>
              </w:rPr>
              <w:t xml:space="preserve">2.57B</w:t>
            </w:r>
          </w:p>
        </w:tc>
      </w:tr>
    </w:tbl>
    <w:p>
      <w:pPr>
        <w:pStyle w:val="BodyText"/>
      </w:pPr>
      <w:r>
        <w:t xml:space="preserve">At the midpoint, BKNG is guiding to roughly</w:t>
      </w:r>
      <w:r>
        <w:t xml:space="preserve"> </w:t>
      </w:r>
      <w:r>
        <w:rPr>
          <w:b/>
          <w:bCs/>
        </w:rPr>
        <w:t xml:space="preserve">318 million room nights</w:t>
      </w:r>
      <w:r>
        <w:t xml:space="preserve">,</w:t>
      </w:r>
      <w:r>
        <w:t xml:space="preserve"> </w:t>
      </w:r>
      <m:oMath>
        <m:r>
          <m:t>49.0</m:t>
        </m:r>
        <m:r>
          <m:t>b</m:t>
        </m:r>
        <m:r>
          <m:t>i</m:t>
        </m:r>
        <m:r>
          <m:t>l</m:t>
        </m:r>
        <m:r>
          <m:t>l</m:t>
        </m:r>
        <m:r>
          <m:t>i</m:t>
        </m:r>
        <m:r>
          <m:t>o</m:t>
        </m:r>
        <m:r>
          <m:t>n</m:t>
        </m:r>
        <m:r>
          <m:t>o</m:t>
        </m:r>
        <m:r>
          <m:t>f</m:t>
        </m:r>
        <m:r>
          <m:t>g</m:t>
        </m:r>
        <m:r>
          <m:t>r</m:t>
        </m:r>
        <m:r>
          <m:t>o</m:t>
        </m:r>
        <m:r>
          <m:t>s</m:t>
        </m:r>
        <m:r>
          <m:t>s</m:t>
        </m:r>
        <m:r>
          <m:t>b</m:t>
        </m:r>
        <m:r>
          <m:t>o</m:t>
        </m:r>
        <m:r>
          <m:t>o</m:t>
        </m:r>
        <m:r>
          <m:t>k</m:t>
        </m:r>
        <m:r>
          <m:t>i</m:t>
        </m:r>
        <m:r>
          <m:t>n</m:t>
        </m:r>
        <m:r>
          <m:t>g</m:t>
        </m:r>
        <m:r>
          <m:t>s</m:t>
        </m:r>
        <m:r>
          <m:rPr>
            <m:sty m:val="p"/>
          </m:rPr>
          <m:t>*</m:t>
        </m:r>
        <m:r>
          <m:rPr>
            <m:sty m:val="p"/>
          </m:rPr>
          <m:t>*</m:t>
        </m:r>
        <m:r>
          <m:rPr>
            <m:sty m:val="p"/>
          </m:rPr>
          <m:t>,</m:t>
        </m:r>
        <m:r>
          <m:rPr>
            <m:sty m:val="p"/>
          </m:rPr>
          <m:t>*</m:t>
        </m:r>
        <m:r>
          <m:rPr>
            <m:sty m:val="p"/>
          </m:rPr>
          <m:t>*</m:t>
        </m:r>
      </m:oMath>
      <w:r>
        <w:rPr>
          <w:b/>
          <w:bCs/>
        </w:rPr>
        <w:t xml:space="preserve">7.14 billion of revenue</w:t>
      </w:r>
      <w:r>
        <w:t xml:space="preserve">, and</w:t>
      </w:r>
      <w:r>
        <w:t xml:space="preserve"> </w:t>
      </w:r>
      <w:r>
        <w:rPr>
          <w:b/>
          <w:bCs/>
        </w:rPr>
        <w:t xml:space="preserve">$2.54 billion of adjusted EBITDA</w:t>
      </w:r>
      <w:r>
        <w:t xml:space="preserve">. The company did</w:t>
      </w:r>
      <w:r>
        <w:t xml:space="preserve"> </w:t>
      </w:r>
      <w:r>
        <w:rPr>
          <w:b/>
          <w:bCs/>
        </w:rPr>
        <w:t xml:space="preserve">not</w:t>
      </w:r>
      <w:r>
        <w:t xml:space="preserve"> </w:t>
      </w:r>
      <w:r>
        <w:t xml:space="preserve">provide quarterly adjusted-EPS guidance.</w:t>
      </w:r>
    </w:p>
    <w:p>
      <w:pPr>
        <w:pStyle w:val="BodyText"/>
      </w:pPr>
      <w:r>
        <w:t xml:space="preserve">Management said the outlook embedded roughly a</w:t>
      </w:r>
      <w:r>
        <w:t xml:space="preserve"> </w:t>
      </w:r>
      <w:r>
        <w:rPr>
          <w:b/>
          <w:bCs/>
        </w:rPr>
        <w:t xml:space="preserve">three-percentage-point</w:t>
      </w:r>
      <w:r>
        <w:t xml:space="preserve"> </w:t>
      </w:r>
      <w:r>
        <w:t xml:space="preserve">2Q headwind from the Middle East situation. It also expected FX to add approximately</w:t>
      </w:r>
      <w:r>
        <w:t xml:space="preserve"> </w:t>
      </w:r>
      <w:r>
        <w:rPr>
          <w:b/>
          <w:bCs/>
        </w:rPr>
        <w:t xml:space="preserve">two percentage points</w:t>
      </w:r>
      <w:r>
        <w:t xml:space="preserve"> </w:t>
      </w:r>
      <w:r>
        <w:t xml:space="preserve">to reported growth. Thus, the underlying constant-currency growth implied by the reported 4%–6% gross-bookings and revenue guide is modest: roughly</w:t>
      </w:r>
      <w:r>
        <w:t xml:space="preserve"> </w:t>
      </w:r>
      <w:r>
        <w:rPr>
          <w:b/>
          <w:bCs/>
        </w:rPr>
        <w:t xml:space="preserve">2%–4%</w:t>
      </w:r>
      <w:r>
        <w:t xml:space="preserve">.</w:t>
      </w:r>
    </w:p>
    <w:p>
      <w:pPr>
        <w:pStyle w:val="BodyText"/>
      </w:pPr>
      <w:r>
        <w:t xml:space="preserve">The stock closed at</w:t>
      </w:r>
      <w:r>
        <w:t xml:space="preserve"> </w:t>
      </w:r>
      <w:r>
        <w:rPr>
          <w:b/>
          <w:bCs/>
        </w:rPr>
        <w:t xml:space="preserve">$192.74 on August 3</w:t>
      </w:r>
      <w:r>
        <w:t xml:space="preserve">, up about</w:t>
      </w:r>
      <w:r>
        <w:t xml:space="preserve"> </w:t>
      </w:r>
      <w:r>
        <w:rPr>
          <w:b/>
          <w:bCs/>
        </w:rPr>
        <w:t xml:space="preserve">5.5%</w:t>
      </w:r>
      <w:r>
        <w:t xml:space="preserve"> </w:t>
      </w:r>
      <w:r>
        <w:t xml:space="preserve">from July 1. That compares with approximately</w:t>
      </w:r>
      <w:r>
        <w:t xml:space="preserve"> </w:t>
      </w:r>
      <w:r>
        <w:rPr>
          <w:b/>
          <w:bCs/>
        </w:rPr>
        <w:t xml:space="preserve">2.3%</w:t>
      </w:r>
      <w:r>
        <w:t xml:space="preserve"> </w:t>
      </w:r>
      <w:r>
        <w:t xml:space="preserve">for Airbnb and</w:t>
      </w:r>
      <w:r>
        <w:t xml:space="preserve"> </w:t>
      </w:r>
      <w:r>
        <w:rPr>
          <w:b/>
          <w:bCs/>
        </w:rPr>
        <w:t xml:space="preserve">12.7%</w:t>
      </w:r>
      <w:r>
        <w:t xml:space="preserve"> </w:t>
      </w:r>
      <w:r>
        <w:t xml:space="preserve">for Expedia over the same period, suggesting BKNG has participated in travel-sector strength but has lagged Expedia into earnings.</w:t>
      </w:r>
    </w:p>
    <w:p>
      <w:r>
        <w:pict>
          <v:rect style="width:0;height:1.5pt" o:hralign="center" o:hrstd="t" o:hr="t"/>
        </w:pict>
      </w:r>
    </w:p>
    <w:bookmarkEnd w:id="10"/>
    <w:bookmarkStart w:id="13" w:name="why-the-setup-is-mixed"/>
    <w:p>
      <w:pPr>
        <w:pStyle w:val="Heading2"/>
      </w:pPr>
      <w:r>
        <w:t xml:space="preserve">Why the setup is mixed</w:t>
      </w:r>
    </w:p>
    <w:bookmarkStart w:id="11" w:name="Xc182ecc18460de2000d48147c5692ef8ab46bba"/>
    <w:p>
      <w:pPr>
        <w:pStyle w:val="Heading3"/>
      </w:pPr>
      <w:r>
        <w:t xml:space="preserve">The bullish case: core travel demand has held up better than the headline geopolitical risk implies</w:t>
      </w:r>
    </w:p>
    <w:p>
      <w:pPr>
        <w:pStyle w:val="FirstParagraph"/>
      </w:pPr>
      <w:r>
        <w:t xml:space="preserve">BKNG’s 1Q results showed that demand outside the most directly affected areas remained healthy:</w:t>
      </w:r>
    </w:p>
    <w:p>
      <w:pPr>
        <w:pStyle w:val="Compact"/>
        <w:numPr>
          <w:ilvl w:val="0"/>
          <w:numId w:val="1002"/>
        </w:numPr>
      </w:pPr>
      <w:r>
        <w:rPr>
          <w:b/>
          <w:bCs/>
        </w:rPr>
        <w:t xml:space="preserve">U.S. room-night growth accelerated to the low teens</w:t>
      </w:r>
      <w:r>
        <w:t xml:space="preserve">, the fourth consecutive quarter of acceleration, driven principally by domestic travel.</w:t>
      </w:r>
    </w:p>
    <w:p>
      <w:pPr>
        <w:pStyle w:val="Compact"/>
        <w:numPr>
          <w:ilvl w:val="0"/>
          <w:numId w:val="1002"/>
        </w:numPr>
      </w:pPr>
      <w:r>
        <w:rPr>
          <w:b/>
          <w:bCs/>
        </w:rPr>
        <w:t xml:space="preserve">Intra-European demand</w:t>
      </w:r>
      <w:r>
        <w:t xml:space="preserve"> </w:t>
      </w:r>
      <w:r>
        <w:t xml:space="preserve">grew high single digits.</w:t>
      </w:r>
    </w:p>
    <w:p>
      <w:pPr>
        <w:pStyle w:val="Compact"/>
        <w:numPr>
          <w:ilvl w:val="0"/>
          <w:numId w:val="1002"/>
        </w:numPr>
      </w:pPr>
      <w:r>
        <w:rPr>
          <w:b/>
          <w:bCs/>
        </w:rPr>
        <w:t xml:space="preserve">Intra-Asia demand</w:t>
      </w:r>
      <w:r>
        <w:t xml:space="preserve"> </w:t>
      </w:r>
      <w:r>
        <w:t xml:space="preserve">grew low double digits.</w:t>
      </w:r>
    </w:p>
    <w:p>
      <w:pPr>
        <w:pStyle w:val="Compact"/>
        <w:numPr>
          <w:ilvl w:val="0"/>
          <w:numId w:val="1002"/>
        </w:numPr>
      </w:pPr>
      <w:r>
        <w:t xml:space="preserve">The company highlighted improving conditions at the lower end of the U.S. market: booking windows stabilized and ADRs stopped declining, even as trips remained somewhat shorter.</w:t>
      </w:r>
    </w:p>
    <w:p>
      <w:pPr>
        <w:pStyle w:val="Compact"/>
        <w:numPr>
          <w:ilvl w:val="0"/>
          <w:numId w:val="1002"/>
        </w:numPr>
      </w:pPr>
      <w:r>
        <w:t xml:space="preserve">BKNG has continued gaining traction in higher-value and strategically important products: connected-trip transactions grew in the high teens in 1Q, flights grew 28%, and alternative-accommodation mix expanded.</w:t>
      </w:r>
    </w:p>
    <w:p>
      <w:pPr>
        <w:pStyle w:val="FirstParagraph"/>
      </w:pPr>
      <w:r>
        <w:t xml:space="preserve">This matters because the company’s 2Q guidance presupposed a substantial geopolitical drag. If U.S., Europe, and Asia demand remained durable through the summer booking period, room nights and gross bookings could clear the midpoint even if Middle Eastern routes remained weak.</w:t>
      </w:r>
    </w:p>
    <w:bookmarkEnd w:id="11"/>
    <w:bookmarkStart w:id="12" w:name="X98d2fe3f0e74ddf3f6b1b120c442bdace57bafa"/>
    <w:p>
      <w:pPr>
        <w:pStyle w:val="Heading3"/>
      </w:pPr>
      <w:r>
        <w:t xml:space="preserve">The bear case: the key 2H assumption appears at risk</w:t>
      </w:r>
    </w:p>
    <w:p>
      <w:pPr>
        <w:pStyle w:val="FirstParagraph"/>
      </w:pPr>
      <w:r>
        <w:t xml:space="preserve">The major downside is not simply that affected-region volumes were soft in 2Q—that was explicitly contemplated. The issue is whether the disruption has extended beyond management’s assumption.</w:t>
      </w:r>
    </w:p>
    <w:p>
      <w:pPr>
        <w:pStyle w:val="BodyText"/>
      </w:pPr>
      <w:r>
        <w:t xml:space="preserve">In April, BKNG’s full-year plan assumed conflict-related effects ended after June, with a subsequent recovery in bookings. Yet late-July and early-August reporting continued to point to uncertainty around Iran, the Strait of Hormuz, oil prices, regional aviation, and travel routes. This creates risk to:</w:t>
      </w:r>
    </w:p>
    <w:p>
      <w:pPr>
        <w:pStyle w:val="Compact"/>
        <w:numPr>
          <w:ilvl w:val="0"/>
          <w:numId w:val="1003"/>
        </w:numPr>
      </w:pPr>
      <w:r>
        <w:rPr>
          <w:b/>
          <w:bCs/>
        </w:rPr>
        <w:t xml:space="preserve">European-to-Asian transit travel</w:t>
      </w:r>
    </w:p>
    <w:p>
      <w:pPr>
        <w:pStyle w:val="Compact"/>
        <w:numPr>
          <w:ilvl w:val="0"/>
          <w:numId w:val="1003"/>
        </w:numPr>
      </w:pPr>
      <w:r>
        <w:t xml:space="preserve">Middle East inbound, outbound, and intra-regional bookings</w:t>
      </w:r>
    </w:p>
    <w:p>
      <w:pPr>
        <w:pStyle w:val="Compact"/>
        <w:numPr>
          <w:ilvl w:val="0"/>
          <w:numId w:val="1003"/>
        </w:numPr>
      </w:pPr>
      <w:r>
        <w:t xml:space="preserve">Airline capacity and fares</w:t>
      </w:r>
    </w:p>
    <w:p>
      <w:pPr>
        <w:pStyle w:val="Compact"/>
        <w:numPr>
          <w:ilvl w:val="0"/>
          <w:numId w:val="1003"/>
        </w:numPr>
      </w:pPr>
      <w:r>
        <w:t xml:space="preserve">Traveler confidence, particularly for longer-haul international itineraries</w:t>
      </w:r>
    </w:p>
    <w:p>
      <w:pPr>
        <w:pStyle w:val="Compact"/>
        <w:numPr>
          <w:ilvl w:val="0"/>
          <w:numId w:val="1003"/>
        </w:numPr>
      </w:pPr>
      <w:r>
        <w:t xml:space="preserve">3Q booking trends, which matter far more than a backward-looking 2Q print</w:t>
      </w:r>
    </w:p>
    <w:p>
      <w:pPr>
        <w:pStyle w:val="FirstParagraph"/>
      </w:pPr>
      <w:r>
        <w:t xml:space="preserve">A lower full-year outlook—or even a more cautious qualitative discussion of the second half—could outweigh an operational 2Q beat.</w:t>
      </w:r>
    </w:p>
    <w:p>
      <w:r>
        <w:pict>
          <v:rect style="width:0;height:1.5pt" o:hralign="center" o:hrstd="t" o:hr="t"/>
        </w:pict>
      </w:r>
    </w:p>
    <w:bookmarkEnd w:id="12"/>
    <w:bookmarkEnd w:id="13"/>
    <w:bookmarkStart w:id="18" w:name="the-most-important-metrics-to-watch"/>
    <w:p>
      <w:pPr>
        <w:pStyle w:val="Heading2"/>
      </w:pPr>
      <w:r>
        <w:t xml:space="preserve">The most important metrics to watch</w:t>
      </w:r>
    </w:p>
    <w:bookmarkStart w:id="14" w:name="X41fc7f88fc44ecdf3301d601910e747816e9b3a"/>
    <w:p>
      <w:pPr>
        <w:pStyle w:val="Heading3"/>
      </w:pPr>
      <w:r>
        <w:t xml:space="preserve">1. Room nights: focus on the underlying exit rate, not just the reported number</w:t>
      </w:r>
    </w:p>
    <w:p>
      <w:pPr>
        <w:pStyle w:val="FirstParagraph"/>
      </w:pPr>
      <w:r>
        <w:t xml:space="preserve">BKNG guided to 2%–4% room-night growth, versus 8% growth in 2Q25. The company attributed three percentage points of the expected 2Q growth drag to the Middle East conflict.</w:t>
      </w:r>
    </w:p>
    <w:p>
      <w:pPr>
        <w:pStyle w:val="BodyText"/>
      </w:pPr>
      <w:r>
        <w:rPr>
          <w:b/>
          <w:bCs/>
        </w:rPr>
        <w:t xml:space="preserve">What investors should want to hear:</w:t>
      </w:r>
    </w:p>
    <w:p>
      <w:pPr>
        <w:pStyle w:val="Compact"/>
        <w:numPr>
          <w:ilvl w:val="0"/>
          <w:numId w:val="1004"/>
        </w:numPr>
      </w:pPr>
      <w:r>
        <w:t xml:space="preserve">Growth at or above the high end of the 2%–4% range.</w:t>
      </w:r>
    </w:p>
    <w:p>
      <w:pPr>
        <w:pStyle w:val="Compact"/>
        <w:numPr>
          <w:ilvl w:val="0"/>
          <w:numId w:val="1004"/>
        </w:numPr>
      </w:pPr>
      <w:r>
        <w:t xml:space="preserve">Evidence that cancellation rates have normalized from the elevated levels experienced after the conflict began.</w:t>
      </w:r>
    </w:p>
    <w:p>
      <w:pPr>
        <w:pStyle w:val="Compact"/>
        <w:numPr>
          <w:ilvl w:val="0"/>
          <w:numId w:val="1004"/>
        </w:numPr>
      </w:pPr>
      <w:r>
        <w:t xml:space="preserve">Confirmation that U.S. share gains remain intact.</w:t>
      </w:r>
    </w:p>
    <w:p>
      <w:pPr>
        <w:pStyle w:val="Compact"/>
        <w:numPr>
          <w:ilvl w:val="0"/>
          <w:numId w:val="1004"/>
        </w:numPr>
      </w:pPr>
      <w:r>
        <w:t xml:space="preserve">Continued healthy growth in intra-Europe and intra-Asia travel.</w:t>
      </w:r>
    </w:p>
    <w:p>
      <w:pPr>
        <w:pStyle w:val="Compact"/>
        <w:numPr>
          <w:ilvl w:val="0"/>
          <w:numId w:val="1004"/>
        </w:numPr>
      </w:pPr>
      <w:r>
        <w:t xml:space="preserve">Any indication that July bookings improved, rather than merely that 2Q travel occurred within expectations.</w:t>
      </w:r>
    </w:p>
    <w:p>
      <w:pPr>
        <w:pStyle w:val="FirstParagraph"/>
      </w:pPr>
      <w:r>
        <w:t xml:space="preserve">A room-night result at the high end is constructive, but the real signal will be management’s view of current booking velocity and the implied 3Q trajectory.</w:t>
      </w:r>
    </w:p>
    <w:bookmarkEnd w:id="14"/>
    <w:bookmarkStart w:id="15" w:name="Xd2cde3dcebb37674ef3765b447b1c53507134e7"/>
    <w:p>
      <w:pPr>
        <w:pStyle w:val="Heading3"/>
      </w:pPr>
      <w:r>
        <w:t xml:space="preserve">2. Gross bookings and revenue: FX, ADR, and merchant mix will complicate the headline</w:t>
      </w:r>
    </w:p>
    <w:p>
      <w:pPr>
        <w:pStyle w:val="FirstParagraph"/>
      </w:pPr>
      <w:r>
        <w:t xml:space="preserve">BKNG guided to 4%–6% growth for both gross bookings and revenue. FX was expected to contribute roughly two points to reported growth, leaving only low-single-digit constant-currency expansion implied by the guide.</w:t>
      </w:r>
    </w:p>
    <w:p>
      <w:pPr>
        <w:pStyle w:val="BodyText"/>
      </w:pPr>
      <w:r>
        <w:t xml:space="preserve">In 1Q, BKNG produced a favorable revenue mix:</w:t>
      </w:r>
    </w:p>
    <w:p>
      <w:pPr>
        <w:pStyle w:val="Compact"/>
        <w:numPr>
          <w:ilvl w:val="0"/>
          <w:numId w:val="1005"/>
        </w:numPr>
      </w:pPr>
      <w:r>
        <w:t xml:space="preserve">Merchant revenue rose to</w:t>
      </w:r>
      <w:r>
        <w:t xml:space="preserve"> </w:t>
      </w:r>
      <w:r>
        <w:rPr>
          <w:b/>
          <w:bCs/>
        </w:rPr>
        <w:t xml:space="preserve">$3.7 billion</w:t>
      </w:r>
      <w:r>
        <w:t xml:space="preserve">, up materially year over year.</w:t>
      </w:r>
    </w:p>
    <w:p>
      <w:pPr>
        <w:pStyle w:val="Compact"/>
        <w:numPr>
          <w:ilvl w:val="0"/>
          <w:numId w:val="1005"/>
        </w:numPr>
      </w:pPr>
      <w:r>
        <w:t xml:space="preserve">Agency revenue declined modestly.</w:t>
      </w:r>
    </w:p>
    <w:p>
      <w:pPr>
        <w:pStyle w:val="Compact"/>
        <w:numPr>
          <w:ilvl w:val="0"/>
          <w:numId w:val="1005"/>
        </w:numPr>
      </w:pPr>
      <w:r>
        <w:t xml:space="preserve">Merchant gross bookings represented roughly</w:t>
      </w:r>
      <w:r>
        <w:t xml:space="preserve"> </w:t>
      </w:r>
      <w:r>
        <w:rPr>
          <w:b/>
          <w:bCs/>
        </w:rPr>
        <w:t xml:space="preserve">72% of total gross bookings</w:t>
      </w:r>
      <w:r>
        <w:t xml:space="preserve">, up five percentage points year over year.</w:t>
      </w:r>
    </w:p>
    <w:p>
      <w:pPr>
        <w:pStyle w:val="Compact"/>
        <w:numPr>
          <w:ilvl w:val="0"/>
          <w:numId w:val="1005"/>
        </w:numPr>
      </w:pPr>
      <w:r>
        <w:t xml:space="preserve">Revenue as a percentage of gross bookings expanded modestly, helped by payment revenue.</w:t>
      </w:r>
    </w:p>
    <w:p>
      <w:pPr>
        <w:pStyle w:val="FirstParagraph"/>
      </w:pPr>
      <w:r>
        <w:t xml:space="preserve">For 2Q, investors should assess whether this monetization tailwind persists. A mix shift toward merchant bookings and payments can allow revenue to grow faster than room nights, while also supporting contribution profit. Conversely, weaker ADRs or a deteriorating geographic and product mix could limit the benefit.</w:t>
      </w:r>
    </w:p>
    <w:bookmarkEnd w:id="15"/>
    <w:bookmarkStart w:id="16" w:name="Xf8955b124368cd4d13f43d4a87cc7d19a1dc115"/>
    <w:p>
      <w:pPr>
        <w:pStyle w:val="Heading3"/>
      </w:pPr>
      <w:r>
        <w:t xml:space="preserve">3. Adjusted EBITDA: the cleanest test of BKNG’s operating model</w:t>
      </w:r>
    </w:p>
    <w:p>
      <w:pPr>
        <w:pStyle w:val="FirstParagraph"/>
      </w:pPr>
      <w:r>
        <w:t xml:space="preserve">BKNG’s 2Q adjusted-EBITDA guide of 4%–6% growth implies roughly</w:t>
      </w:r>
      <w:r>
        <w:t xml:space="preserve"> </w:t>
      </w:r>
      <m:oMath>
        <m:r>
          <m:t>2.52</m:t>
        </m:r>
        <m:r>
          <m:t>b</m:t>
        </m:r>
        <m:r>
          <m:t>i</m:t>
        </m:r>
        <m:r>
          <m:t>l</m:t>
        </m:r>
        <m:r>
          <m:t>l</m:t>
        </m:r>
        <m:r>
          <m:t>i</m:t>
        </m:r>
        <m:r>
          <m:t>o</m:t>
        </m:r>
        <m:r>
          <m:t>n</m:t>
        </m:r>
        <m:r>
          <m:rPr>
            <m:sty m:val="p"/>
          </m:rPr>
          <m:t>–</m:t>
        </m:r>
      </m:oMath>
      <w:r>
        <w:rPr>
          <w:b/>
          <w:bCs/>
        </w:rPr>
        <w:t xml:space="preserve">2.57 billion</w:t>
      </w:r>
      <w:r>
        <w:t xml:space="preserve">, compared with</w:t>
      </w:r>
      <w:r>
        <w:t xml:space="preserve"> </w:t>
      </w:r>
      <w:r>
        <w:rPr>
          <w:b/>
          <w:bCs/>
        </w:rPr>
        <w:t xml:space="preserve">$2.42 billion</w:t>
      </w:r>
      <w:r>
        <w:t xml:space="preserve"> </w:t>
      </w:r>
      <w:r>
        <w:t xml:space="preserve">in 2Q25.</w:t>
      </w:r>
    </w:p>
    <w:p>
      <w:pPr>
        <w:pStyle w:val="BodyText"/>
      </w:pPr>
      <w:r>
        <w:t xml:space="preserve">The company has several levers protecting profitability:</w:t>
      </w:r>
    </w:p>
    <w:p>
      <w:pPr>
        <w:pStyle w:val="Compact"/>
        <w:numPr>
          <w:ilvl w:val="0"/>
          <w:numId w:val="1006"/>
        </w:numPr>
      </w:pPr>
      <w:r>
        <w:t xml:space="preserve">Marketing is highly variable.</w:t>
      </w:r>
    </w:p>
    <w:p>
      <w:pPr>
        <w:pStyle w:val="Compact"/>
        <w:numPr>
          <w:ilvl w:val="0"/>
          <w:numId w:val="1006"/>
        </w:numPr>
      </w:pPr>
      <w:r>
        <w:t xml:space="preserve">Management began targeted cost actions, including tighter discretionary spending and recalibrated hiring.</w:t>
      </w:r>
    </w:p>
    <w:p>
      <w:pPr>
        <w:pStyle w:val="Compact"/>
        <w:numPr>
          <w:ilvl w:val="0"/>
          <w:numId w:val="1006"/>
        </w:numPr>
      </w:pPr>
      <w:r>
        <w:t xml:space="preserve">BKNG reiterated a target for</w:t>
      </w:r>
      <w:r>
        <w:t xml:space="preserve"> </w:t>
      </w:r>
      <m:oMath>
        <m:r>
          <m:t>500</m:t>
        </m:r>
        <m:r>
          <m:t>m</m:t>
        </m:r>
        <m:r>
          <m:t>i</m:t>
        </m:r>
        <m:r>
          <m:t>l</m:t>
        </m:r>
        <m:r>
          <m:t>l</m:t>
        </m:r>
        <m:r>
          <m:t>i</m:t>
        </m:r>
        <m:r>
          <m:t>o</m:t>
        </m:r>
        <m:r>
          <m:t>n</m:t>
        </m:r>
        <m:r>
          <m:rPr>
            <m:sty m:val="p"/>
          </m:rPr>
          <m:t>–</m:t>
        </m:r>
      </m:oMath>
      <w:r>
        <w:rPr>
          <w:b/>
          <w:bCs/>
        </w:rPr>
        <w:t xml:space="preserve">550 million</w:t>
      </w:r>
      <w:r>
        <w:t xml:space="preserve"> </w:t>
      </w:r>
      <w:r>
        <w:t xml:space="preserve">of in-year savings from its transformation program in 2026.</w:t>
      </w:r>
    </w:p>
    <w:p>
      <w:pPr>
        <w:pStyle w:val="Compact"/>
        <w:numPr>
          <w:ilvl w:val="0"/>
          <w:numId w:val="1006"/>
        </w:numPr>
      </w:pPr>
      <w:r>
        <w:t xml:space="preserve">Management expects to protect strategic investments even while managing the cost base.</w:t>
      </w:r>
    </w:p>
    <w:p>
      <w:pPr>
        <w:pStyle w:val="FirstParagraph"/>
      </w:pPr>
      <w:r>
        <w:t xml:space="preserve">The key question is whether BKNG can deliver EBITDA leverage without impairing U.S. expansion, connected-trip initiatives, product development, or AI investment. A beat driven solely by aggressively pulling back marketing would likely be viewed less favorably than one supported by better conversion, direct-channel momentum, and sustainable operating efficiency.</w:t>
      </w:r>
    </w:p>
    <w:bookmarkEnd w:id="16"/>
    <w:bookmarkStart w:id="17" w:name="Xf5bdeb47915cac901a91c87268077a869858be0"/>
    <w:p>
      <w:pPr>
        <w:pStyle w:val="Heading3"/>
      </w:pPr>
      <w:r>
        <w:t xml:space="preserve">4. Full-year guidance: this is likely the stock-moving item</w:t>
      </w:r>
    </w:p>
    <w:p>
      <w:pPr>
        <w:pStyle w:val="FirstParagraph"/>
      </w:pPr>
      <w:r>
        <w:t xml:space="preserve">Prior full-year guidance called for:</w:t>
      </w:r>
    </w:p>
    <w:p>
      <w:pPr>
        <w:pStyle w:val="Compact"/>
        <w:numPr>
          <w:ilvl w:val="0"/>
          <w:numId w:val="1007"/>
        </w:numPr>
      </w:pPr>
      <w:r>
        <w:t xml:space="preserve">Gross bookings growth in the</w:t>
      </w:r>
      <w:r>
        <w:t xml:space="preserve"> </w:t>
      </w:r>
      <w:r>
        <w:rPr>
          <w:b/>
          <w:bCs/>
        </w:rPr>
        <w:t xml:space="preserve">high single digits to low double digits</w:t>
      </w:r>
    </w:p>
    <w:p>
      <w:pPr>
        <w:pStyle w:val="Compact"/>
        <w:numPr>
          <w:ilvl w:val="0"/>
          <w:numId w:val="1007"/>
        </w:numPr>
      </w:pPr>
      <w:r>
        <w:t xml:space="preserve">Revenue growth in the</w:t>
      </w:r>
      <w:r>
        <w:t xml:space="preserve"> </w:t>
      </w:r>
      <w:r>
        <w:rPr>
          <w:b/>
          <w:bCs/>
        </w:rPr>
        <w:t xml:space="preserve">high single digits</w:t>
      </w:r>
    </w:p>
    <w:p>
      <w:pPr>
        <w:pStyle w:val="Compact"/>
        <w:numPr>
          <w:ilvl w:val="0"/>
          <w:numId w:val="1007"/>
        </w:numPr>
      </w:pPr>
      <w:r>
        <w:t xml:space="preserve">Adjusted EBITDA growth</w:t>
      </w:r>
      <w:r>
        <w:t xml:space="preserve"> </w:t>
      </w:r>
      <w:r>
        <w:rPr>
          <w:b/>
          <w:bCs/>
        </w:rPr>
        <w:t xml:space="preserve">slightly faster than revenue</w:t>
      </w:r>
    </w:p>
    <w:p>
      <w:pPr>
        <w:pStyle w:val="Compact"/>
        <w:numPr>
          <w:ilvl w:val="0"/>
          <w:numId w:val="1007"/>
        </w:numPr>
      </w:pPr>
      <w:r>
        <w:t xml:space="preserve">Adjusted EPS growth in the</w:t>
      </w:r>
      <w:r>
        <w:t xml:space="preserve"> </w:t>
      </w:r>
      <w:r>
        <w:rPr>
          <w:b/>
          <w:bCs/>
        </w:rPr>
        <w:t xml:space="preserve">low-to-mid teens</w:t>
      </w:r>
    </w:p>
    <w:p>
      <w:pPr>
        <w:pStyle w:val="Compact"/>
        <w:numPr>
          <w:ilvl w:val="0"/>
          <w:numId w:val="1007"/>
        </w:numPr>
      </w:pPr>
      <w:r>
        <w:t xml:space="preserve">Adjusted EBITDA margin expansion of</w:t>
      </w:r>
      <w:r>
        <w:t xml:space="preserve"> </w:t>
      </w:r>
      <w:r>
        <w:rPr>
          <w:b/>
          <w:bCs/>
        </w:rPr>
        <w:t xml:space="preserve">0–25 basis points</w:t>
      </w:r>
    </w:p>
    <w:p>
      <w:pPr>
        <w:pStyle w:val="FirstParagraph"/>
      </w:pPr>
      <w:r>
        <w:t xml:space="preserve">Management had already lowered the midpoint of the full-year range in April, while leaving the high end of gross-bookings and adjusted-EPS expectations unchanged. That framework effectively requires a second-half recovery.</w:t>
      </w:r>
    </w:p>
    <w:p>
      <w:pPr>
        <w:pStyle w:val="BodyText"/>
      </w:pPr>
      <w:r>
        <w:rPr>
          <w:b/>
          <w:bCs/>
        </w:rPr>
        <w:t xml:space="preserve">Bullish outcome:</w:t>
      </w:r>
      <w:r>
        <w:t xml:space="preserve"> </w:t>
      </w:r>
      <w:r>
        <w:t xml:space="preserve">BKNG maintains full-year guidance and says affected-route demand is stabilizing or recovering.</w:t>
      </w:r>
    </w:p>
    <w:p>
      <w:pPr>
        <w:pStyle w:val="BodyText"/>
      </w:pPr>
      <w:r>
        <w:rPr>
          <w:b/>
          <w:bCs/>
        </w:rPr>
        <w:t xml:space="preserve">More realistic constructive outcome:</w:t>
      </w:r>
      <w:r>
        <w:t xml:space="preserve"> </w:t>
      </w:r>
      <w:r>
        <w:t xml:space="preserve">BKNG maintains its framework but offers a wider range of scenarios, emphasizes that underlying travel demand remains resilient outside the affected region, and points to offsetting cost actions.</w:t>
      </w:r>
    </w:p>
    <w:p>
      <w:pPr>
        <w:pStyle w:val="BodyText"/>
      </w:pPr>
      <w:r>
        <w:rPr>
          <w:b/>
          <w:bCs/>
        </w:rPr>
        <w:t xml:space="preserve">Bearish outcome:</w:t>
      </w:r>
      <w:r>
        <w:t xml:space="preserve"> </w:t>
      </w:r>
      <w:r>
        <w:t xml:space="preserve">BKNG lowers guidance because the disruption lasts longer than assumed, or because fuel costs, airline capacity, and consumer sentiment create spillover effects beyond Middle Eastern travel.</w:t>
      </w:r>
    </w:p>
    <w:p>
      <w:r>
        <w:pict>
          <v:rect style="width:0;height:1.5pt" o:hralign="center" o:hrstd="t" o:hr="t"/>
        </w:pict>
      </w:r>
    </w:p>
    <w:bookmarkEnd w:id="17"/>
    <w:bookmarkEnd w:id="18"/>
    <w:bookmarkStart w:id="22" w:name="strategic-watch-items"/>
    <w:p>
      <w:pPr>
        <w:pStyle w:val="Heading2"/>
      </w:pPr>
      <w:r>
        <w:t xml:space="preserve">Strategic watch items</w:t>
      </w:r>
    </w:p>
    <w:bookmarkStart w:id="19" w:name="us-expansion"/>
    <w:p>
      <w:pPr>
        <w:pStyle w:val="Heading3"/>
      </w:pPr>
      <w:r>
        <w:t xml:space="preserve">U.S. expansion</w:t>
      </w:r>
    </w:p>
    <w:p>
      <w:pPr>
        <w:pStyle w:val="FirstParagraph"/>
      </w:pPr>
      <w:r>
        <w:t xml:space="preserve">U.S. growth is BKNG’s most important self-help opportunity. The company reported low-teens U.S. room-night growth in 1Q while the broader accommodations market was growing much more slowly. Sustained share gains—particularly through Booking.com’s direct channel, flights, ground transport, and packages—would strengthen the long-term earnings case.</w:t>
      </w:r>
    </w:p>
    <w:bookmarkEnd w:id="19"/>
    <w:bookmarkStart w:id="20" w:name="connected-trip-and-genius"/>
    <w:p>
      <w:pPr>
        <w:pStyle w:val="Heading3"/>
      </w:pPr>
      <w:r>
        <w:t xml:space="preserve">Connected Trip and Genius</w:t>
      </w:r>
    </w:p>
    <w:p>
      <w:pPr>
        <w:pStyle w:val="FirstParagraph"/>
      </w:pPr>
      <w:r>
        <w:t xml:space="preserve">Connected-trip transactions represented a low-double-digit percentage of Booking.com transactions in 1Q and grew in the high teens. BKNG has also suggested it will further strengthen the Genius loyalty proposition.</w:t>
      </w:r>
    </w:p>
    <w:p>
      <w:pPr>
        <w:pStyle w:val="BodyText"/>
      </w:pPr>
      <w:r>
        <w:t xml:space="preserve">Investors should watch for updates on whether the company is converting its large accommodation base into higher-frequency, multi-vertical customers. This is strategically important because it can lift retention, direct mix, cross-sell, and unit economics.</w:t>
      </w:r>
    </w:p>
    <w:bookmarkEnd w:id="20"/>
    <w:bookmarkStart w:id="21" w:name="ai-validation-not-near-term-revenue"/>
    <w:p>
      <w:pPr>
        <w:pStyle w:val="Heading3"/>
      </w:pPr>
      <w:r>
        <w:t xml:space="preserve">AI: validation, not near-term revenue</w:t>
      </w:r>
    </w:p>
    <w:p>
      <w:pPr>
        <w:pStyle w:val="FirstParagraph"/>
      </w:pPr>
      <w:r>
        <w:t xml:space="preserve">BKNG’s AI strategy is credible as a product and efficiency initiative, but it is too early to underwrite as a material revenue driver. The relevant indicators are:</w:t>
      </w:r>
    </w:p>
    <w:p>
      <w:pPr>
        <w:pStyle w:val="Compact"/>
        <w:numPr>
          <w:ilvl w:val="0"/>
          <w:numId w:val="1008"/>
        </w:numPr>
      </w:pPr>
      <w:r>
        <w:t xml:space="preserve">Higher conversion and shorter search-to-booking paths;</w:t>
      </w:r>
    </w:p>
    <w:p>
      <w:pPr>
        <w:pStyle w:val="Compact"/>
        <w:numPr>
          <w:ilvl w:val="0"/>
          <w:numId w:val="1008"/>
        </w:numPr>
      </w:pPr>
      <w:r>
        <w:t xml:space="preserve">Lower cancellation rates;</w:t>
      </w:r>
    </w:p>
    <w:p>
      <w:pPr>
        <w:pStyle w:val="Compact"/>
        <w:numPr>
          <w:ilvl w:val="0"/>
          <w:numId w:val="1008"/>
        </w:numPr>
      </w:pPr>
      <w:r>
        <w:t xml:space="preserve">Better customer-service automation and lower cost per booking;</w:t>
      </w:r>
    </w:p>
    <w:p>
      <w:pPr>
        <w:pStyle w:val="Compact"/>
        <w:numPr>
          <w:ilvl w:val="0"/>
          <w:numId w:val="1008"/>
        </w:numPr>
      </w:pPr>
      <w:r>
        <w:t xml:space="preserve">Scaling of Priceline’s Penny and Booking.com’s AI search/discovery tools;</w:t>
      </w:r>
    </w:p>
    <w:p>
      <w:pPr>
        <w:pStyle w:val="Compact"/>
        <w:numPr>
          <w:ilvl w:val="0"/>
          <w:numId w:val="1008"/>
        </w:numPr>
      </w:pPr>
      <w:r>
        <w:t xml:space="preserve">Continued progress in partnerships with major AI platforms.</w:t>
      </w:r>
    </w:p>
    <w:p>
      <w:pPr>
        <w:pStyle w:val="FirstParagraph"/>
      </w:pPr>
      <w:r>
        <w:t xml:space="preserve">Management has indicated early conversion and engagement signals are positive, but described the evidence as preliminary. Investors should look for more quantitative proof points rather than broad strategic language.</w:t>
      </w:r>
    </w:p>
    <w:p>
      <w:r>
        <w:pict>
          <v:rect style="width:0;height:1.5pt" o:hralign="center" o:hrstd="t" o:hr="t"/>
        </w:pict>
      </w:r>
    </w:p>
    <w:bookmarkEnd w:id="21"/>
    <w:bookmarkEnd w:id="22"/>
    <w:bookmarkStart w:id="23" w:name="X467a6ce0eeef566f9a97b02b3d5498d51bc5194"/>
    <w:p>
      <w:pPr>
        <w:pStyle w:val="Heading2"/>
      </w:pPr>
      <w:r>
        <w:t xml:space="preserve">Capital return remains a meaningful support</w:t>
      </w:r>
    </w:p>
    <w:p>
      <w:pPr>
        <w:pStyle w:val="FirstParagraph"/>
      </w:pPr>
      <w:r>
        <w:t xml:space="preserve">BKNG repurchased</w:t>
      </w:r>
      <w:r>
        <w:t xml:space="preserve"> </w:t>
      </w:r>
      <m:oMath>
        <m:r>
          <m:t>3.6</m:t>
        </m:r>
        <m:r>
          <m:t>b</m:t>
        </m:r>
        <m:r>
          <m:t>i</m:t>
        </m:r>
        <m:r>
          <m:t>l</m:t>
        </m:r>
        <m:r>
          <m:t>l</m:t>
        </m:r>
        <m:r>
          <m:t>i</m:t>
        </m:r>
        <m:r>
          <m:t>o</m:t>
        </m:r>
        <m:r>
          <m:t>n</m:t>
        </m:r>
        <m:r>
          <m:rPr>
            <m:sty m:val="p"/>
          </m:rPr>
          <m:t>*</m:t>
        </m:r>
        <m:r>
          <m:rPr>
            <m:sty m:val="p"/>
          </m:rPr>
          <m:t>*</m:t>
        </m:r>
        <m:r>
          <m:t>o</m:t>
        </m:r>
        <m:r>
          <m:t>f</m:t>
        </m:r>
        <m:r>
          <m:t>s</m:t>
        </m:r>
        <m:r>
          <m:t>t</m:t>
        </m:r>
        <m:r>
          <m:t>o</m:t>
        </m:r>
        <m:r>
          <m:t>c</m:t>
        </m:r>
        <m:r>
          <m:t>k</m:t>
        </m:r>
        <m:r>
          <m:t>i</m:t>
        </m:r>
        <m:r>
          <m:t>n</m:t>
        </m:r>
        <m:r>
          <m:t>1</m:t>
        </m:r>
        <m:r>
          <m:t>Q</m:t>
        </m:r>
        <m:r>
          <m:t>26</m:t>
        </m:r>
        <m:r>
          <m:rPr>
            <m:sty m:val="p"/>
          </m:rPr>
          <m:t>,</m:t>
        </m:r>
        <m:r>
          <m:t>t</m:t>
        </m:r>
        <m:r>
          <m:t>h</m:t>
        </m:r>
        <m:r>
          <m:t>e</m:t>
        </m:r>
        <m:r>
          <m:t>c</m:t>
        </m:r>
        <m:r>
          <m:t>o</m:t>
        </m:r>
        <m:r>
          <m:t>m</m:t>
        </m:r>
        <m:r>
          <m:t>p</m:t>
        </m:r>
        <m:r>
          <m:t>a</m:t>
        </m:r>
        <m:r>
          <m:t>n</m:t>
        </m:r>
        <m:r>
          <m:t>y</m:t>
        </m:r>
        <m:r>
          <m:rPr>
            <m:sty m:val="p"/>
          </m:rPr>
          <m:t>’</m:t>
        </m:r>
        <m:r>
          <m:t>s</m:t>
        </m:r>
        <m:r>
          <m:t>l</m:t>
        </m:r>
        <m:r>
          <m:t>a</m:t>
        </m:r>
        <m:r>
          <m:t>r</m:t>
        </m:r>
        <m:r>
          <m:t>g</m:t>
        </m:r>
        <m:r>
          <m:t>e</m:t>
        </m:r>
        <m:r>
          <m:t>s</m:t>
        </m:r>
        <m:r>
          <m:t>t</m:t>
        </m:r>
        <m:r>
          <m:t>q</m:t>
        </m:r>
        <m:r>
          <m:t>u</m:t>
        </m:r>
        <m:r>
          <m:t>a</m:t>
        </m:r>
        <m:r>
          <m:t>r</m:t>
        </m:r>
        <m:r>
          <m:t>t</m:t>
        </m:r>
        <m:r>
          <m:t>e</m:t>
        </m:r>
        <m:r>
          <m:t>r</m:t>
        </m:r>
        <m:r>
          <m:t>l</m:t>
        </m:r>
        <m:r>
          <m:t>y</m:t>
        </m:r>
        <m:r>
          <m:t>r</m:t>
        </m:r>
        <m:r>
          <m:t>e</m:t>
        </m:r>
        <m:r>
          <m:t>p</m:t>
        </m:r>
        <m:r>
          <m:t>u</m:t>
        </m:r>
        <m:r>
          <m:t>r</m:t>
        </m:r>
        <m:r>
          <m:t>c</m:t>
        </m:r>
        <m:r>
          <m:t>h</m:t>
        </m:r>
        <m:r>
          <m:t>a</m:t>
        </m:r>
        <m:r>
          <m:t>s</m:t>
        </m:r>
        <m:r>
          <m:t>e</m:t>
        </m:r>
        <m:r>
          <m:t>a</m:t>
        </m:r>
        <m:r>
          <m:t>m</m:t>
        </m:r>
        <m:r>
          <m:t>o</m:t>
        </m:r>
        <m:r>
          <m:t>u</m:t>
        </m:r>
        <m:r>
          <m:t>n</m:t>
        </m:r>
        <m:r>
          <m:t>t</m:t>
        </m:r>
        <m:r>
          <m:t>o</m:t>
        </m:r>
        <m:r>
          <m:t>n</m:t>
        </m:r>
        <m:r>
          <m:t>r</m:t>
        </m:r>
        <m:r>
          <m:t>e</m:t>
        </m:r>
        <m:r>
          <m:t>c</m:t>
        </m:r>
        <m:r>
          <m:t>o</m:t>
        </m:r>
        <m:r>
          <m:t>r</m:t>
        </m:r>
        <m:r>
          <m:t>d</m:t>
        </m:r>
        <m:r>
          <m:rPr>
            <m:sty m:val="p"/>
          </m:rPr>
          <m:t>,</m:t>
        </m:r>
        <m:r>
          <m:t>a</m:t>
        </m:r>
        <m:r>
          <m:t>n</m:t>
        </m:r>
        <m:r>
          <m:t>d</m:t>
        </m:r>
        <m:r>
          <m:t>h</m:t>
        </m:r>
        <m:r>
          <m:t>a</m:t>
        </m:r>
        <m:r>
          <m:t>d</m:t>
        </m:r>
        <m:r>
          <m:rPr>
            <m:sty m:val="p"/>
          </m:rPr>
          <m:t>*</m:t>
        </m:r>
        <m:r>
          <m:rPr>
            <m:sty m:val="p"/>
          </m:rPr>
          <m:t>*</m:t>
        </m:r>
      </m:oMath>
      <w:r>
        <w:rPr>
          <w:b/>
          <w:bCs/>
        </w:rPr>
        <w:t xml:space="preserve">18.2 billion</w:t>
      </w:r>
      <w:r>
        <w:t xml:space="preserve"> </w:t>
      </w:r>
      <w:r>
        <w:t xml:space="preserve">remaining under its authorization at quarter-end. It also paid a quarterly dividend.</w:t>
      </w:r>
    </w:p>
    <w:p>
      <w:pPr>
        <w:pStyle w:val="BodyText"/>
      </w:pPr>
      <w:r>
        <w:t xml:space="preserve">This capital-return capacity is underpinned by a strong free-cash-flow model, though investors should remember that BKNG operates with a stockholders’ deficit due largely to its history of aggressive repurchases. The relevant balance-sheet question is not book equity; it is whether BKNG retains ample liquidity, maintains debt flexibility, and continues generating cash through the seasonal working-capital cycle. On that basis, the company entered the year from a position of strength.</w:t>
      </w:r>
    </w:p>
    <w:p>
      <w:r>
        <w:pict>
          <v:rect style="width:0;height:1.5pt" o:hralign="center" o:hrstd="t" o:hr="t"/>
        </w:pict>
      </w:r>
    </w:p>
    <w:bookmarkEnd w:id="23"/>
    <w:bookmarkStart w:id="25" w:name="bottom-line"/>
    <w:p>
      <w:pPr>
        <w:pStyle w:val="Heading2"/>
      </w:pPr>
      <w:r>
        <w:t xml:space="preserve">Bottom line</w:t>
      </w:r>
    </w:p>
    <w:p>
      <w:pPr>
        <w:pStyle w:val="FirstParagraph"/>
      </w:pPr>
      <w:r>
        <w:t xml:space="preserve">BKNG’s 2Q26 report is primarily an</w:t>
      </w:r>
      <w:r>
        <w:t xml:space="preserve"> </w:t>
      </w:r>
      <w:r>
        <w:rPr>
          <w:b/>
          <w:bCs/>
        </w:rPr>
        <w:t xml:space="preserve">outlook and duration-of-disruption</w:t>
      </w:r>
      <w:r>
        <w:t xml:space="preserve"> </w:t>
      </w:r>
      <w:r>
        <w:t xml:space="preserve">event.</w:t>
      </w:r>
    </w:p>
    <w:p>
      <w:pPr>
        <w:pStyle w:val="Compact"/>
        <w:numPr>
          <w:ilvl w:val="0"/>
          <w:numId w:val="1009"/>
        </w:numPr>
      </w:pPr>
      <w:r>
        <w:rPr>
          <w:b/>
          <w:bCs/>
        </w:rPr>
        <w:t xml:space="preserve">A beat and maintained full-year guidance</w:t>
      </w:r>
      <w:r>
        <w:t xml:space="preserve"> </w:t>
      </w:r>
      <w:r>
        <w:t xml:space="preserve">would reinforce the view that BKNG’s diversified global platform, U.S. share gains, merchant economics, direct-channel strength, and flexible cost structure can absorb a regional shock.</w:t>
      </w:r>
    </w:p>
    <w:p>
      <w:pPr>
        <w:pStyle w:val="Compact"/>
        <w:numPr>
          <w:ilvl w:val="0"/>
          <w:numId w:val="1009"/>
        </w:numPr>
      </w:pPr>
      <w:r>
        <w:rPr>
          <w:b/>
          <w:bCs/>
        </w:rPr>
        <w:t xml:space="preserve">An in-line quarter with a more guarded 2H outlook</w:t>
      </w:r>
      <w:r>
        <w:t xml:space="preserve"> </w:t>
      </w:r>
      <w:r>
        <w:t xml:space="preserve">is the most plausible source of stock pressure, even if the underlying operating performance is respectable.</w:t>
      </w:r>
    </w:p>
    <w:p>
      <w:pPr>
        <w:pStyle w:val="Compact"/>
        <w:numPr>
          <w:ilvl w:val="0"/>
          <w:numId w:val="1009"/>
        </w:numPr>
      </w:pPr>
      <w:r>
        <w:rPr>
          <w:b/>
          <w:bCs/>
        </w:rPr>
        <w:t xml:space="preserve">A guide-down</w:t>
      </w:r>
      <w:r>
        <w:t xml:space="preserve"> </w:t>
      </w:r>
      <w:r>
        <w:t xml:space="preserve">would likely be interpreted as evidence that the Middle East disruption has moved from a contained regional headwind to a broader international-travel and macro risk.</w:t>
      </w:r>
    </w:p>
    <w:p>
      <w:pPr>
        <w:pStyle w:val="FirstParagraph"/>
      </w:pPr>
      <w:r>
        <w:t xml:space="preserve">For investors, the highest-value data points will be:</w:t>
      </w:r>
      <w:r>
        <w:t xml:space="preserve"> </w:t>
      </w:r>
      <w:r>
        <w:rPr>
          <w:b/>
          <w:bCs/>
        </w:rPr>
        <w:t xml:space="preserve">July booking trends, cancellation normalization, U.S. share momentum, European and Asian intra-regional demand, ADR direction, marketing efficiency, and—above all—whether management can still defend a second-half recovery.</w:t>
      </w:r>
    </w:p>
    <w:bookmarkStart w:id="24" w:name="sources-consulted"/>
    <w:p>
      <w:pPr>
        <w:pStyle w:val="Heading3"/>
      </w:pPr>
      <w:r>
        <w:t xml:space="preserve">Sources consulted</w:t>
      </w:r>
    </w:p>
    <w:p>
      <w:pPr>
        <w:pStyle w:val="Compact"/>
        <w:numPr>
          <w:ilvl w:val="0"/>
          <w:numId w:val="1010"/>
        </w:numPr>
      </w:pPr>
      <w:r>
        <w:t xml:space="preserve">Booking Holdings 1Q26 earnings release and conference-call transcript, April 28, 2026.</w:t>
      </w:r>
    </w:p>
    <w:p>
      <w:pPr>
        <w:pStyle w:val="Compact"/>
        <w:numPr>
          <w:ilvl w:val="0"/>
          <w:numId w:val="1010"/>
        </w:numPr>
      </w:pPr>
      <w:r>
        <w:t xml:space="preserve">Booking Holdings 2Q25 earnings release, July 29, 2025.</w:t>
      </w:r>
    </w:p>
    <w:p>
      <w:pPr>
        <w:pStyle w:val="Compact"/>
        <w:numPr>
          <w:ilvl w:val="0"/>
          <w:numId w:val="1010"/>
        </w:numPr>
      </w:pPr>
      <w:r>
        <w:t xml:space="preserve">Recent travel-sector, geopolitical, and BKNG news through August 3, 2026.</w:t>
      </w:r>
    </w:p>
    <w:bookmarkEnd w:id="24"/>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2026-08-04T01:38:01Z</dcterms:created>
  <dcterms:modified xsi:type="dcterms:W3CDTF">2026-08-04T01:38:01Z</dcterms:modified>
</cp:coreProperties>
</file>

<file path=docProps/custom.xml><?xml version="1.0" encoding="utf-8"?>
<Properties xmlns="http://schemas.openxmlformats.org/officeDocument/2006/custom-properties" xmlns:vt="http://schemas.openxmlformats.org/officeDocument/2006/docPropsVTypes"/>
</file>