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Booking Holdings (BKNG) — Q2 2026 Earnings Preview</w:t>
      </w:r>
    </w:p>
    <w:p>
      <w:r>
        <w:rPr>
          <w:rFonts w:ascii="Calibri" w:hAnsi="Calibri"/>
          <w:b/>
          <w:color w:val="525866"/>
          <w:sz w:val="22"/>
        </w:rPr>
        <w:t xml:space="preserve">Earnings Date: </w:t>
      </w:r>
      <w:r>
        <w:rPr>
          <w:rFonts w:ascii="Calibri" w:hAnsi="Calibri"/>
          <w:color w:val="525866"/>
          <w:sz w:val="22"/>
        </w:rPr>
        <w:t xml:space="preserve">August 4, 2026  </w:t>
      </w:r>
      <w:r>
        <w:rPr>
          <w:rFonts w:ascii="Calibri" w:hAnsi="Calibri"/>
          <w:b/>
          <w:color w:val="525866"/>
          <w:sz w:val="22"/>
        </w:rPr>
        <w:t xml:space="preserve">| Reporting Period: </w:t>
      </w:r>
      <w:r>
        <w:rPr>
          <w:rFonts w:ascii="Calibri" w:hAnsi="Calibri"/>
          <w:color w:val="525866"/>
          <w:sz w:val="22"/>
        </w:rPr>
        <w:t xml:space="preserve">Q2 2026 (quarter ending June 30, 2026)  </w:t>
      </w:r>
      <w:r>
        <w:rPr>
          <w:rFonts w:ascii="Calibri" w:hAnsi="Calibri"/>
          <w:b/>
          <w:color w:val="525866"/>
          <w:sz w:val="22"/>
        </w:rPr>
        <w:t xml:space="preserve">| Prepared: </w:t>
      </w:r>
      <w:r>
        <w:rPr>
          <w:rFonts w:ascii="Calibri" w:hAnsi="Calibri"/>
          <w:color w:val="525866"/>
          <w:sz w:val="22"/>
        </w:rPr>
        <w:t>August 3,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BKNG’s Q2 print is </w:t>
      </w:r>
      <w:r>
        <w:rPr>
          <w:rFonts w:ascii="Calibri" w:hAnsi="Calibri"/>
          <w:b/>
          <w:color w:val="525866"/>
          <w:sz w:val="22"/>
        </w:rPr>
        <w:t>constructive</w:t>
      </w:r>
      <w:r>
        <w:rPr>
          <w:rFonts w:ascii="Calibri" w:hAnsi="Calibri"/>
          <w:color w:val="525866"/>
          <w:sz w:val="22"/>
        </w:rPr>
        <w:t xml:space="preserve"> — consensus is a low bar given the ~3pt Middle East headwind baked into guidance, and the key question is whether the </w:t>
      </w:r>
      <w:r>
        <w:rPr>
          <w:rFonts w:ascii="Calibri" w:hAnsi="Calibri"/>
          <w:b/>
          <w:color w:val="525866"/>
          <w:sz w:val="22"/>
        </w:rPr>
        <w:t>recovery trajectory in H2 is intact</w:t>
      </w:r>
      <w:r>
        <w:rPr>
          <w:rFonts w:ascii="Calibri" w:hAnsi="Calibri"/>
          <w:color w:val="525866"/>
          <w:sz w:val="22"/>
        </w:rPr>
        <w:t>. The wildcard is whether the Middle East conflict impact moderated faster than expected in June, which would drive a beat on room nights.</w:t>
      </w:r>
    </w:p>
    <w:p>
      <w:r>
        <w:rPr>
          <w:rFonts w:ascii="Calibri" w:hAnsi="Calibri"/>
          <w:color w:val="525866"/>
          <w:sz w:val="22"/>
        </w:rPr>
        <w:t xml:space="preserve">The bar heading into Q2 is intentionally low: management guided room night growth of only </w:t>
      </w:r>
      <w:r>
        <w:rPr>
          <w:rFonts w:ascii="Calibri" w:hAnsi="Calibri"/>
          <w:b/>
          <w:color w:val="525866"/>
          <w:sz w:val="22"/>
        </w:rPr>
        <w:t>+2% to +4%</w:t>
      </w:r>
      <w:r>
        <w:rPr>
          <w:rFonts w:ascii="Calibri" w:hAnsi="Calibri"/>
          <w:color w:val="525866"/>
          <w:sz w:val="22"/>
        </w:rPr>
        <w:t xml:space="preserve"> (vs. a normalized ~8% ex-Middle East), with approximately </w:t>
      </w:r>
      <w:r>
        <w:rPr>
          <w:rFonts w:ascii="Calibri" w:hAnsi="Calibri"/>
          <w:b/>
          <w:color w:val="525866"/>
          <w:sz w:val="22"/>
        </w:rPr>
        <w:t>3 percentage points of headwind</w:t>
      </w:r>
      <w:r>
        <w:rPr>
          <w:rFonts w:ascii="Calibri" w:hAnsi="Calibri"/>
          <w:color w:val="525866"/>
          <w:sz w:val="22"/>
        </w:rPr>
        <w:t xml:space="preserve"> from the conflict embedded in the guide. Guidance was set conservatively at the April 28 Q1 earnings call, assuming the direct and indirect Middle East impact would persist through end of June — a posture management has not formally revised since. Estimate trajectory has been remarkably stable since the Q1 print: consensus room nights sit at ~320M and revenue at ~$7.19B, essentially unchanged from the post-Q1 baseline, suggesting the Street is waiting for Q2 results to reset H2 expectations rather than pre-positioning. The stock is up ~11% since earnings (from $173.38 to $192.71), outperforming the S&amp;P 500 (+6.5%) but lagging EXPE (+23%), indicating the market has partially priced in a recovery but BKNG has not fully re-rated — likely reflecting its greater Middle East exposure and more conservative H2 guidance. The </w:t>
      </w:r>
      <w:r>
        <w:rPr>
          <w:rFonts w:ascii="Calibri" w:hAnsi="Calibri"/>
          <w:b/>
          <w:color w:val="525866"/>
          <w:sz w:val="22"/>
        </w:rPr>
        <w:t>key wildcard</w:t>
      </w:r>
      <w:r>
        <w:rPr>
          <w:rFonts w:ascii="Calibri" w:hAnsi="Calibri"/>
          <w:color w:val="525866"/>
          <w:sz w:val="22"/>
        </w:rPr>
        <w:t xml:space="preserve"> is the pace of Middle East recovery in May–June: if cancellations normalized faster than assumed — as suggested by Marriott and Hilton’s Q2 results, which both came in better than feared on Middle East metrics — BKNG could beat on room nights and, more importantly, raise H2 guidance, which would be the primary catalyst for a meaningful re-rating.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 on room nights</w:t>
      </w:r>
      <w:r>
        <w:rPr>
          <w:rFonts w:ascii="Calibri" w:hAnsi="Calibri"/>
          <w:color w:val="525866"/>
          <w:sz w:val="22"/>
        </w:rPr>
        <w:t xml:space="preserve"> (2–4% guided vs. ~8% normalized), but the real test is whether management raises H2 guidance. </w:t>
      </w:r>
      <w:r>
        <w:rPr>
          <w:rFonts w:ascii="Calibri" w:hAnsi="Calibri"/>
          <w:b/>
          <w:color w:val="525866"/>
          <w:sz w:val="22"/>
        </w:rPr>
        <w:t>Revenue and EBITDA</w:t>
      </w:r>
      <w:r>
        <w:rPr>
          <w:rFonts w:ascii="Calibri" w:hAnsi="Calibri"/>
          <w:color w:val="525866"/>
          <w:sz w:val="22"/>
        </w:rPr>
        <w:t xml:space="preserve"> are the secondary swing factors; both are tracking in line with the guidance midpoint.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$5,532M</w:t>
            </w:r>
          </w:p>
        </w:tc>
        <w:tc>
          <w:tcPr>
            <w:tcW w:type="dxa" w:w="1234"/>
          </w:tcPr>
          <w:p>
            <w:r>
              <w:rPr>
                <w:rFonts w:ascii="Calibri" w:hAnsi="Calibri"/>
                <w:sz w:val="22"/>
              </w:rPr>
              <w:t>$6,798M</w:t>
            </w:r>
          </w:p>
        </w:tc>
        <w:tc>
          <w:tcPr>
            <w:tcW w:type="dxa" w:w="1234"/>
          </w:tcPr>
          <w:p>
            <w:r>
              <w:rPr>
                <w:rFonts w:ascii="Calibri" w:hAnsi="Calibri"/>
                <w:sz w:val="22"/>
              </w:rPr>
              <w:t>$7,191M</w:t>
            </w:r>
          </w:p>
        </w:tc>
        <w:tc>
          <w:tcPr>
            <w:tcW w:type="dxa" w:w="1234"/>
          </w:tcPr>
          <w:p>
            <w:r>
              <w:rPr>
                <w:rFonts w:ascii="Calibri" w:hAnsi="Calibri"/>
                <w:sz w:val="22"/>
              </w:rPr>
              <w:t>+5.8%</w:t>
            </w:r>
          </w:p>
        </w:tc>
        <w:tc>
          <w:tcPr>
            <w:tcW w:type="dxa" w:w="1234"/>
          </w:tcPr>
          <w:p>
            <w:r>
              <w:rPr>
                <w:rFonts w:ascii="Calibri" w:hAnsi="Calibri"/>
                <w:sz w:val="22"/>
              </w:rPr>
              <w:t>+4% to +6%</w:t>
            </w:r>
          </w:p>
        </w:tc>
        <w:tc>
          <w:tcPr>
            <w:tcW w:type="dxa" w:w="1234"/>
          </w:tcPr>
          <w:p>
            <w:r>
              <w:rPr>
                <w:rFonts w:ascii="Calibri" w:hAnsi="Calibri"/>
                <w:sz w:val="22"/>
              </w:rPr>
              <w:t>In line with midpoint</w:t>
            </w:r>
          </w:p>
        </w:tc>
      </w:tr>
      <w:tr>
        <w:tc>
          <w:tcPr>
            <w:tcW w:type="dxa" w:w="1234"/>
          </w:tcPr>
          <w:p>
            <w:r>
              <w:rPr>
                <w:rFonts w:ascii="Calibri" w:hAnsi="Calibri"/>
                <w:sz w:val="22"/>
              </w:rPr>
              <w:t>Hotel Room Nights (M)</w:t>
            </w:r>
          </w:p>
        </w:tc>
        <w:tc>
          <w:tcPr>
            <w:tcW w:type="dxa" w:w="1234"/>
          </w:tcPr>
          <w:p>
            <w:r>
              <w:rPr>
                <w:rFonts w:ascii="Calibri" w:hAnsi="Calibri"/>
                <w:sz w:val="22"/>
              </w:rPr>
              <w:t>338M</w:t>
            </w:r>
          </w:p>
        </w:tc>
        <w:tc>
          <w:tcPr>
            <w:tcW w:type="dxa" w:w="1234"/>
          </w:tcPr>
          <w:p>
            <w:r>
              <w:rPr>
                <w:rFonts w:ascii="Calibri" w:hAnsi="Calibri"/>
                <w:sz w:val="22"/>
              </w:rPr>
              <w:t>309M</w:t>
            </w:r>
          </w:p>
        </w:tc>
        <w:tc>
          <w:tcPr>
            <w:tcW w:type="dxa" w:w="1234"/>
          </w:tcPr>
          <w:p>
            <w:r>
              <w:rPr>
                <w:rFonts w:ascii="Calibri" w:hAnsi="Calibri"/>
                <w:sz w:val="22"/>
              </w:rPr>
              <w:t>320M</w:t>
            </w:r>
          </w:p>
        </w:tc>
        <w:tc>
          <w:tcPr>
            <w:tcW w:type="dxa" w:w="1234"/>
          </w:tcPr>
          <w:p>
            <w:r>
              <w:rPr>
                <w:rFonts w:ascii="Calibri" w:hAnsi="Calibri"/>
                <w:sz w:val="22"/>
              </w:rPr>
              <w:t>+3.6%</w:t>
            </w:r>
          </w:p>
        </w:tc>
        <w:tc>
          <w:tcPr>
            <w:tcW w:type="dxa" w:w="1234"/>
          </w:tcPr>
          <w:p>
            <w:r>
              <w:rPr>
                <w:rFonts w:ascii="Calibri" w:hAnsi="Calibri"/>
                <w:sz w:val="22"/>
              </w:rPr>
              <w:t>+2% to +4%</w:t>
            </w:r>
          </w:p>
        </w:tc>
        <w:tc>
          <w:tcPr>
            <w:tcW w:type="dxa" w:w="1234"/>
          </w:tcPr>
          <w:p>
            <w:r>
              <w:rPr>
                <w:rFonts w:ascii="Calibri" w:hAnsi="Calibri"/>
                <w:sz w:val="22"/>
              </w:rPr>
              <w:t>In line with midpoint</w:t>
            </w:r>
          </w:p>
        </w:tc>
      </w:tr>
      <w:tr>
        <w:tc>
          <w:tcPr>
            <w:tcW w:type="dxa" w:w="1234"/>
          </w:tcPr>
          <w:p>
            <w:r>
              <w:rPr>
                <w:rFonts w:ascii="Calibri" w:hAnsi="Calibri"/>
                <w:sz w:val="22"/>
              </w:rPr>
              <w:t>Gross Bookings</w:t>
            </w:r>
          </w:p>
        </w:tc>
        <w:tc>
          <w:tcPr>
            <w:tcW w:type="dxa" w:w="1234"/>
          </w:tcPr>
          <w:p>
            <w:r>
              <w:rPr>
                <w:rFonts w:ascii="Calibri" w:hAnsi="Calibri"/>
                <w:sz w:val="22"/>
              </w:rPr>
              <w:t>$53,758M</w:t>
            </w:r>
          </w:p>
        </w:tc>
        <w:tc>
          <w:tcPr>
            <w:tcW w:type="dxa" w:w="1234"/>
          </w:tcPr>
          <w:p>
            <w:r>
              <w:rPr>
                <w:rFonts w:ascii="Calibri" w:hAnsi="Calibri"/>
                <w:sz w:val="22"/>
              </w:rPr>
              <w:t>$46,700M</w:t>
            </w:r>
          </w:p>
        </w:tc>
        <w:tc>
          <w:tcPr>
            <w:tcW w:type="dxa" w:w="1234"/>
          </w:tcPr>
          <w:p>
            <w:r>
              <w:rPr>
                <w:rFonts w:ascii="Calibri" w:hAnsi="Calibri"/>
                <w:sz w:val="22"/>
              </w:rPr>
              <w:t>$49,399M</w:t>
            </w:r>
          </w:p>
        </w:tc>
        <w:tc>
          <w:tcPr>
            <w:tcW w:type="dxa" w:w="1234"/>
          </w:tcPr>
          <w:p>
            <w:r>
              <w:rPr>
                <w:rFonts w:ascii="Calibri" w:hAnsi="Calibri"/>
                <w:sz w:val="22"/>
              </w:rPr>
              <w:t>+5.8%</w:t>
            </w:r>
          </w:p>
        </w:tc>
        <w:tc>
          <w:tcPr>
            <w:tcW w:type="dxa" w:w="1234"/>
          </w:tcPr>
          <w:p>
            <w:r>
              <w:rPr>
                <w:rFonts w:ascii="Calibri" w:hAnsi="Calibri"/>
                <w:sz w:val="22"/>
              </w:rPr>
              <w:t>+4% to +6%</w:t>
            </w:r>
          </w:p>
        </w:tc>
        <w:tc>
          <w:tcPr>
            <w:tcW w:type="dxa" w:w="1234"/>
          </w:tcPr>
          <w:p>
            <w:r>
              <w:rPr>
                <w:rFonts w:ascii="Calibri" w:hAnsi="Calibri"/>
                <w:sz w:val="22"/>
              </w:rPr>
              <w:t>In line with midpoint</w:t>
            </w:r>
          </w:p>
        </w:tc>
      </w:tr>
      <w:tr>
        <w:tc>
          <w:tcPr>
            <w:tcW w:type="dxa" w:w="1234"/>
          </w:tcPr>
          <w:p>
            <w:r>
              <w:rPr>
                <w:rFonts w:ascii="Calibri" w:hAnsi="Calibri"/>
                <w:sz w:val="22"/>
              </w:rPr>
              <w:t>Adj. EBITDA</w:t>
            </w:r>
          </w:p>
        </w:tc>
        <w:tc>
          <w:tcPr>
            <w:tcW w:type="dxa" w:w="1234"/>
          </w:tcPr>
          <w:p>
            <w:r>
              <w:rPr>
                <w:rFonts w:ascii="Calibri" w:hAnsi="Calibri"/>
                <w:sz w:val="22"/>
              </w:rPr>
              <w:t>$1,290M</w:t>
            </w:r>
          </w:p>
        </w:tc>
        <w:tc>
          <w:tcPr>
            <w:tcW w:type="dxa" w:w="1234"/>
          </w:tcPr>
          <w:p>
            <w:r>
              <w:rPr>
                <w:rFonts w:ascii="Calibri" w:hAnsi="Calibri"/>
                <w:sz w:val="22"/>
              </w:rPr>
              <w:t>$2,423M</w:t>
            </w:r>
          </w:p>
        </w:tc>
        <w:tc>
          <w:tcPr>
            <w:tcW w:type="dxa" w:w="1234"/>
          </w:tcPr>
          <w:p>
            <w:r>
              <w:rPr>
                <w:rFonts w:ascii="Calibri" w:hAnsi="Calibri"/>
                <w:sz w:val="22"/>
              </w:rPr>
              <w:t>$2,559M</w:t>
            </w:r>
          </w:p>
        </w:tc>
        <w:tc>
          <w:tcPr>
            <w:tcW w:type="dxa" w:w="1234"/>
          </w:tcPr>
          <w:p>
            <w:r>
              <w:rPr>
                <w:rFonts w:ascii="Calibri" w:hAnsi="Calibri"/>
                <w:sz w:val="22"/>
              </w:rPr>
              <w:t>+5.6%</w:t>
            </w:r>
          </w:p>
        </w:tc>
        <w:tc>
          <w:tcPr>
            <w:tcW w:type="dxa" w:w="1234"/>
          </w:tcPr>
          <w:p>
            <w:r>
              <w:rPr>
                <w:rFonts w:ascii="Calibri" w:hAnsi="Calibri"/>
                <w:sz w:val="22"/>
              </w:rPr>
              <w:t>+4% to +6%</w:t>
            </w:r>
          </w:p>
        </w:tc>
        <w:tc>
          <w:tcPr>
            <w:tcW w:type="dxa" w:w="1234"/>
          </w:tcPr>
          <w:p>
            <w:r>
              <w:rPr>
                <w:rFonts w:ascii="Calibri" w:hAnsi="Calibri"/>
                <w:sz w:val="22"/>
              </w:rPr>
              <w:t>In line with midpoint</w:t>
            </w:r>
          </w:p>
        </w:tc>
      </w:tr>
      <w:tr>
        <w:tc>
          <w:tcPr>
            <w:tcW w:type="dxa" w:w="1234"/>
          </w:tcPr>
          <w:p>
            <w:r>
              <w:rPr>
                <w:rFonts w:ascii="Calibri" w:hAnsi="Calibri"/>
                <w:sz w:val="22"/>
              </w:rPr>
              <w:t>Adj. EPS (Diluted)</w:t>
            </w:r>
          </w:p>
        </w:tc>
        <w:tc>
          <w:tcPr>
            <w:tcW w:type="dxa" w:w="1234"/>
          </w:tcPr>
          <w:p>
            <w:r>
              <w:rPr>
                <w:rFonts w:ascii="Calibri" w:hAnsi="Calibri"/>
                <w:sz w:val="22"/>
              </w:rPr>
              <w:t>$1.14</w:t>
            </w:r>
          </w:p>
        </w:tc>
        <w:tc>
          <w:tcPr>
            <w:tcW w:type="dxa" w:w="1234"/>
          </w:tcPr>
          <w:p>
            <w:r>
              <w:rPr>
                <w:rFonts w:ascii="Calibri" w:hAnsi="Calibri"/>
                <w:sz w:val="22"/>
              </w:rPr>
              <w:t>$2.22</w:t>
            </w:r>
          </w:p>
        </w:tc>
        <w:tc>
          <w:tcPr>
            <w:tcW w:type="dxa" w:w="1234"/>
          </w:tcPr>
          <w:p>
            <w:r>
              <w:rPr>
                <w:rFonts w:ascii="Calibri" w:hAnsi="Calibri"/>
                <w:sz w:val="22"/>
              </w:rPr>
              <w:t>$2.41</w:t>
            </w:r>
          </w:p>
        </w:tc>
        <w:tc>
          <w:tcPr>
            <w:tcW w:type="dxa" w:w="1234"/>
          </w:tcPr>
          <w:p>
            <w:r>
              <w:rPr>
                <w:rFonts w:ascii="Calibri" w:hAnsi="Calibri"/>
                <w:sz w:val="22"/>
              </w:rPr>
              <w:t>+8.6%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ADR ($)</w:t>
            </w:r>
          </w:p>
        </w:tc>
        <w:tc>
          <w:tcPr>
            <w:tcW w:type="dxa" w:w="1234"/>
          </w:tcPr>
          <w:p>
            <w:r>
              <w:rPr>
                <w:rFonts w:ascii="Calibri" w:hAnsi="Calibri"/>
                <w:sz w:val="22"/>
              </w:rPr>
              <w:t>$138.19</w:t>
            </w:r>
          </w:p>
        </w:tc>
        <w:tc>
          <w:tcPr>
            <w:tcW w:type="dxa" w:w="1234"/>
          </w:tcPr>
          <w:p>
            <w:r>
              <w:rPr>
                <w:rFonts w:ascii="Calibri" w:hAnsi="Calibri"/>
                <w:sz w:val="22"/>
              </w:rPr>
              <w:t>$132.87</w:t>
            </w:r>
          </w:p>
        </w:tc>
        <w:tc>
          <w:tcPr>
            <w:tcW w:type="dxa" w:w="1234"/>
          </w:tcPr>
          <w:p>
            <w:r>
              <w:rPr>
                <w:rFonts w:ascii="Calibri" w:hAnsi="Calibri"/>
                <w:sz w:val="22"/>
              </w:rPr>
              <w:t>$135.05</w:t>
            </w:r>
          </w:p>
        </w:tc>
        <w:tc>
          <w:tcPr>
            <w:tcW w:type="dxa" w:w="1234"/>
          </w:tcPr>
          <w:p>
            <w:r>
              <w:rPr>
                <w:rFonts w:ascii="Calibri" w:hAnsi="Calibri"/>
                <w:sz w:val="22"/>
              </w:rPr>
              <w:t>+1.6%</w:t>
            </w:r>
          </w:p>
        </w:tc>
        <w:tc>
          <w:tcPr>
            <w:tcW w:type="dxa" w:w="1234"/>
          </w:tcPr>
          <w:p>
            <w:r>
              <w:rPr>
                <w:rFonts w:ascii="Calibri" w:hAnsi="Calibri"/>
                <w:sz w:val="22"/>
              </w:rPr>
              <w:t>Slightly down YoY (ME impact)</w:t>
            </w:r>
          </w:p>
        </w:tc>
        <w:tc>
          <w:tcPr>
            <w:tcW w:type="dxa" w:w="1234"/>
          </w:tcPr>
          <w:p>
            <w:r>
              <w:rPr>
                <w:rFonts w:ascii="Calibri" w:hAnsi="Calibri"/>
                <w:sz w:val="22"/>
              </w:rPr>
              <w:t>Slightly below guidance</w:t>
            </w:r>
          </w:p>
        </w:tc>
      </w:tr>
      <w:tr>
        <w:tc>
          <w:tcPr>
            <w:tcW w:type="dxa" w:w="1234"/>
          </w:tcPr>
          <w:p>
            <w:r>
              <w:rPr>
                <w:rFonts w:ascii="Calibri" w:hAnsi="Calibri"/>
                <w:sz w:val="22"/>
              </w:rPr>
              <w:t>Take Rate (%)</w:t>
            </w:r>
          </w:p>
        </w:tc>
        <w:tc>
          <w:tcPr>
            <w:tcW w:type="dxa" w:w="1234"/>
          </w:tcPr>
          <w:p>
            <w:r>
              <w:rPr>
                <w:rFonts w:ascii="Calibri" w:hAnsi="Calibri"/>
                <w:sz w:val="22"/>
              </w:rPr>
              <w:t>10.29%</w:t>
            </w:r>
          </w:p>
        </w:tc>
        <w:tc>
          <w:tcPr>
            <w:tcW w:type="dxa" w:w="1234"/>
          </w:tcPr>
          <w:p>
            <w:r>
              <w:rPr>
                <w:rFonts w:ascii="Calibri" w:hAnsi="Calibri"/>
                <w:sz w:val="22"/>
              </w:rPr>
              <w:t>14.56%</w:t>
            </w:r>
          </w:p>
        </w:tc>
        <w:tc>
          <w:tcPr>
            <w:tcW w:type="dxa" w:w="1234"/>
          </w:tcPr>
          <w:p>
            <w:r>
              <w:rPr>
                <w:rFonts w:ascii="Calibri" w:hAnsi="Calibri"/>
                <w:sz w:val="22"/>
              </w:rPr>
              <w:t>14.55%</w:t>
            </w:r>
          </w:p>
        </w:tc>
        <w:tc>
          <w:tcPr>
            <w:tcW w:type="dxa" w:w="1234"/>
          </w:tcPr>
          <w:p>
            <w:r>
              <w:rPr>
                <w:rFonts w:ascii="Calibri" w:hAnsi="Calibri"/>
                <w:sz w:val="22"/>
              </w:rPr>
              <w:t>-0.01pp</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Gross Bookings Growth (%)</w:t>
            </w:r>
          </w:p>
        </w:tc>
        <w:tc>
          <w:tcPr>
            <w:tcW w:type="dxa" w:w="1234"/>
          </w:tcPr>
          <w:p>
            <w:r>
              <w:rPr>
                <w:rFonts w:ascii="Calibri" w:hAnsi="Calibri"/>
                <w:sz w:val="22"/>
              </w:rPr>
              <w:t>+15.2%</w:t>
            </w:r>
          </w:p>
        </w:tc>
        <w:tc>
          <w:tcPr>
            <w:tcW w:type="dxa" w:w="1234"/>
          </w:tcPr>
          <w:p>
            <w:r>
              <w:rPr>
                <w:rFonts w:ascii="Calibri" w:hAnsi="Calibri"/>
                <w:sz w:val="22"/>
              </w:rPr>
              <w:t>+12.8%</w:t>
            </w:r>
          </w:p>
        </w:tc>
        <w:tc>
          <w:tcPr>
            <w:tcW w:type="dxa" w:w="1234"/>
          </w:tcPr>
          <w:p>
            <w:r>
              <w:rPr>
                <w:rFonts w:ascii="Calibri" w:hAnsi="Calibri"/>
                <w:sz w:val="22"/>
              </w:rPr>
              <w:t>+5.9%</w:t>
            </w:r>
          </w:p>
        </w:tc>
        <w:tc>
          <w:tcPr>
            <w:tcW w:type="dxa" w:w="1234"/>
          </w:tcPr>
          <w:p>
            <w:r>
              <w:rPr>
                <w:rFonts w:ascii="Calibri" w:hAnsi="Calibri"/>
                <w:sz w:val="22"/>
              </w:rPr>
              <w:t>-6.9pp YoY</w:t>
            </w:r>
          </w:p>
        </w:tc>
        <w:tc>
          <w:tcPr>
            <w:tcW w:type="dxa" w:w="1234"/>
          </w:tcPr>
          <w:p>
            <w:r>
              <w:rPr>
                <w:rFonts w:ascii="Calibri" w:hAnsi="Calibri"/>
                <w:sz w:val="22"/>
              </w:rPr>
              <w:t>+4% to +6%</w:t>
            </w:r>
          </w:p>
        </w:tc>
        <w:tc>
          <w:tcPr>
            <w:tcW w:type="dxa" w:w="1234"/>
          </w:tcPr>
          <w:p>
            <w:r>
              <w:rPr>
                <w:rFonts w:ascii="Calibri" w:hAnsi="Calibri"/>
                <w:sz w:val="22"/>
              </w:rPr>
              <w:t>In line</w:t>
            </w:r>
          </w:p>
        </w:tc>
      </w:tr>
    </w:tbl>
    <w:p>
      <w:r>
        <w:rPr>
          <w:rFonts w:ascii="Calibri" w:hAnsi="Calibri"/>
          <w:i/>
          <w:color w:val="525866"/>
          <w:sz w:val="22"/>
        </w:rPr>
        <w:t>Source: Visible Alpha consensus and actuals. Q2 2026 guidance provided on April 28, 2026 Q1 earnings call. Guidance assumes ~3pts of Middle East headwind on room nights. Q1 2026 Actual figures are the most recently reported quarter (not the current reporting quarter).</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Hotel Room Nights Sold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287</w:t>
            </w:r>
          </w:p>
        </w:tc>
        <w:tc>
          <w:tcPr>
            <w:tcW w:type="dxa" w:w="1728"/>
          </w:tcPr>
          <w:p>
            <w:r>
              <w:rPr>
                <w:rFonts w:ascii="Calibri" w:hAnsi="Calibri"/>
                <w:sz w:val="22"/>
              </w:rPr>
              <w:t>285</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299</w:t>
            </w:r>
          </w:p>
        </w:tc>
        <w:tc>
          <w:tcPr>
            <w:tcW w:type="dxa" w:w="1728"/>
          </w:tcPr>
          <w:p>
            <w:r>
              <w:rPr>
                <w:rFonts w:ascii="Calibri" w:hAnsi="Calibri"/>
                <w:sz w:val="22"/>
              </w:rPr>
              <w:t>291</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261</w:t>
            </w:r>
          </w:p>
        </w:tc>
        <w:tc>
          <w:tcPr>
            <w:tcW w:type="dxa" w:w="1728"/>
          </w:tcPr>
          <w:p>
            <w:r>
              <w:rPr>
                <w:rFonts w:ascii="Calibri" w:hAnsi="Calibri"/>
                <w:sz w:val="22"/>
              </w:rPr>
              <w:t>250</w:t>
            </w:r>
          </w:p>
        </w:tc>
        <w:tc>
          <w:tcPr>
            <w:tcW w:type="dxa" w:w="1728"/>
          </w:tcPr>
          <w:p>
            <w:r>
              <w:rPr>
                <w:rFonts w:ascii="Calibri" w:hAnsi="Calibri"/>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319</w:t>
            </w:r>
          </w:p>
        </w:tc>
        <w:tc>
          <w:tcPr>
            <w:tcW w:type="dxa" w:w="1728"/>
          </w:tcPr>
          <w:p>
            <w:r>
              <w:rPr>
                <w:rFonts w:ascii="Calibri" w:hAnsi="Calibri"/>
                <w:sz w:val="22"/>
              </w:rPr>
              <w:t>318</w:t>
            </w:r>
          </w:p>
        </w:tc>
        <w:tc>
          <w:tcPr>
            <w:tcW w:type="dxa" w:w="1728"/>
          </w:tcPr>
          <w:p>
            <w:r>
              <w:rPr>
                <w:rFonts w:ascii="Calibri" w:hAnsi="Calibri"/>
                <w:sz w:val="22"/>
              </w:rPr>
              <w:t>+0.3%</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309</w:t>
            </w:r>
          </w:p>
        </w:tc>
        <w:tc>
          <w:tcPr>
            <w:tcW w:type="dxa" w:w="1728"/>
          </w:tcPr>
          <w:p>
            <w:r>
              <w:rPr>
                <w:rFonts w:ascii="Calibri" w:hAnsi="Calibri"/>
                <w:sz w:val="22"/>
              </w:rPr>
              <w:t>305</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323</w:t>
            </w:r>
          </w:p>
        </w:tc>
        <w:tc>
          <w:tcPr>
            <w:tcW w:type="dxa" w:w="1728"/>
          </w:tcPr>
          <w:p>
            <w:r>
              <w:rPr>
                <w:rFonts w:ascii="Calibri" w:hAnsi="Calibri"/>
                <w:sz w:val="22"/>
              </w:rPr>
              <w:t>316</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285</w:t>
            </w:r>
          </w:p>
        </w:tc>
        <w:tc>
          <w:tcPr>
            <w:tcW w:type="dxa" w:w="1728"/>
          </w:tcPr>
          <w:p>
            <w:r>
              <w:rPr>
                <w:rFonts w:ascii="Calibri" w:hAnsi="Calibri"/>
                <w:sz w:val="22"/>
              </w:rPr>
              <w:t>279</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338</w:t>
            </w:r>
          </w:p>
        </w:tc>
        <w:tc>
          <w:tcPr>
            <w:tcW w:type="dxa" w:w="1728"/>
          </w:tcPr>
          <w:p>
            <w:r>
              <w:rPr>
                <w:rFonts w:ascii="Calibri" w:hAnsi="Calibri"/>
                <w:sz w:val="22"/>
              </w:rPr>
              <w:t>341</w:t>
            </w:r>
          </w:p>
        </w:tc>
        <w:tc>
          <w:tcPr>
            <w:tcW w:type="dxa" w:w="1728"/>
          </w:tcPr>
          <w:p>
            <w:r>
              <w:rPr>
                <w:rFonts w:ascii="Calibri" w:hAnsi="Calibri"/>
                <w:sz w:val="22"/>
              </w:rPr>
              <w:t>-0.9%</w:t>
            </w:r>
          </w:p>
        </w:tc>
        <w:tc>
          <w:tcPr>
            <w:tcW w:type="dxa" w:w="1728"/>
          </w:tcPr>
          <w:p>
            <w:r>
              <w:rPr>
                <w:rFonts w:ascii="Calibri" w:hAnsi="Calibri"/>
                <w:b/>
                <w:color w:val="E5484D"/>
                <w:sz w:val="22"/>
              </w:rPr>
              <w:t>Miss</w:t>
            </w:r>
          </w:p>
        </w:tc>
      </w:tr>
    </w:tbl>
    <w:p>
      <w:pPr>
        <w:pStyle w:val="Heading4"/>
      </w:pPr>
      <w:r>
        <w:rPr>
          <w:rFonts w:ascii="Calibri" w:hAnsi="Calibri"/>
          <w:b/>
          <w:color w:val="3B4259"/>
          <w:sz w:val="22"/>
        </w:rPr>
        <w:t>Adj.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$1.68</w:t>
            </w:r>
          </w:p>
        </w:tc>
        <w:tc>
          <w:tcPr>
            <w:tcW w:type="dxa" w:w="1728"/>
          </w:tcPr>
          <w:p>
            <w:r>
              <w:rPr>
                <w:rFonts w:ascii="Calibri" w:hAnsi="Calibri"/>
                <w:sz w:val="22"/>
              </w:rPr>
              <w:t>$1.51</w:t>
            </w:r>
          </w:p>
        </w:tc>
        <w:tc>
          <w:tcPr>
            <w:tcW w:type="dxa" w:w="1728"/>
          </w:tcPr>
          <w:p>
            <w:r>
              <w:rPr>
                <w:rFonts w:ascii="Calibri" w:hAnsi="Calibri"/>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$3.36</w:t>
            </w:r>
          </w:p>
        </w:tc>
        <w:tc>
          <w:tcPr>
            <w:tcW w:type="dxa" w:w="1728"/>
          </w:tcPr>
          <w:p>
            <w:r>
              <w:rPr>
                <w:rFonts w:ascii="Calibri" w:hAnsi="Calibri"/>
                <w:sz w:val="22"/>
              </w:rPr>
              <w:t>$3.04</w:t>
            </w:r>
          </w:p>
        </w:tc>
        <w:tc>
          <w:tcPr>
            <w:tcW w:type="dxa" w:w="1728"/>
          </w:tcPr>
          <w:p>
            <w:r>
              <w:rPr>
                <w:rFonts w:ascii="Calibri" w:hAnsi="Calibri"/>
                <w:sz w:val="22"/>
              </w:rPr>
              <w:t>+10.5%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$1.66</w:t>
            </w:r>
          </w:p>
        </w:tc>
        <w:tc>
          <w:tcPr>
            <w:tcW w:type="dxa" w:w="1728"/>
          </w:tcPr>
          <w:p>
            <w:r>
              <w:rPr>
                <w:rFonts w:ascii="Calibri" w:hAnsi="Calibri"/>
                <w:sz w:val="22"/>
              </w:rPr>
              <w:t>$1.47</w:t>
            </w:r>
          </w:p>
        </w:tc>
        <w:tc>
          <w:tcPr>
            <w:tcW w:type="dxa" w:w="1728"/>
          </w:tcPr>
          <w:p>
            <w:r>
              <w:rPr>
                <w:rFonts w:ascii="Calibri" w:hAnsi="Calibri"/>
                <w:sz w:val="22"/>
              </w:rPr>
              <w:t>+12.9%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$0.99</w:t>
            </w:r>
          </w:p>
        </w:tc>
        <w:tc>
          <w:tcPr>
            <w:tcW w:type="dxa" w:w="1728"/>
          </w:tcPr>
          <w:p>
            <w:r>
              <w:rPr>
                <w:rFonts w:ascii="Calibri" w:hAnsi="Calibri"/>
                <w:sz w:val="22"/>
              </w:rPr>
              <w:t>$0.72</w:t>
            </w:r>
          </w:p>
        </w:tc>
        <w:tc>
          <w:tcPr>
            <w:tcW w:type="dxa" w:w="1728"/>
          </w:tcPr>
          <w:p>
            <w:r>
              <w:rPr>
                <w:rFonts w:ascii="Calibri" w:hAnsi="Calibri"/>
                <w:sz w:val="22"/>
              </w:rPr>
              <w:t>+37.5%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$2.22</w:t>
            </w:r>
          </w:p>
        </w:tc>
        <w:tc>
          <w:tcPr>
            <w:tcW w:type="dxa" w:w="1728"/>
          </w:tcPr>
          <w:p>
            <w:r>
              <w:rPr>
                <w:rFonts w:ascii="Calibri" w:hAnsi="Calibri"/>
                <w:sz w:val="22"/>
              </w:rPr>
              <w:t>$2.00</w:t>
            </w:r>
          </w:p>
        </w:tc>
        <w:tc>
          <w:tcPr>
            <w:tcW w:type="dxa" w:w="1728"/>
          </w:tcPr>
          <w:p>
            <w:r>
              <w:rPr>
                <w:rFonts w:ascii="Calibri" w:hAnsi="Calibri"/>
                <w:sz w:val="22"/>
              </w:rPr>
              <w:t>+10.8%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$3.99</w:t>
            </w:r>
          </w:p>
        </w:tc>
        <w:tc>
          <w:tcPr>
            <w:tcW w:type="dxa" w:w="1728"/>
          </w:tcPr>
          <w:p>
            <w:r>
              <w:rPr>
                <w:rFonts w:ascii="Calibri" w:hAnsi="Calibri"/>
                <w:sz w:val="22"/>
              </w:rPr>
              <w:t>$3.86</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$1.95</w:t>
            </w:r>
          </w:p>
        </w:tc>
        <w:tc>
          <w:tcPr>
            <w:tcW w:type="dxa" w:w="1728"/>
          </w:tcPr>
          <w:p>
            <w:r>
              <w:rPr>
                <w:rFonts w:ascii="Calibri" w:hAnsi="Calibri"/>
                <w:sz w:val="22"/>
              </w:rPr>
              <w:t>$1.93</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$1.14</w:t>
            </w:r>
          </w:p>
        </w:tc>
        <w:tc>
          <w:tcPr>
            <w:tcW w:type="dxa" w:w="1728"/>
          </w:tcPr>
          <w:p>
            <w:r>
              <w:rPr>
                <w:rFonts w:ascii="Calibri" w:hAnsi="Calibri"/>
                <w:sz w:val="22"/>
              </w:rPr>
              <w:t>$1.07</w:t>
            </w:r>
          </w:p>
        </w:tc>
        <w:tc>
          <w:tcPr>
            <w:tcW w:type="dxa" w:w="1728"/>
          </w:tcPr>
          <w:p>
            <w:r>
              <w:rPr>
                <w:rFonts w:ascii="Calibri" w:hAnsi="Calibri"/>
                <w:sz w:val="22"/>
              </w:rPr>
              <w:t>+6.5%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 xml:space="preserve">BKNG has beaten Adj. EPS consensus in </w:t>
      </w:r>
      <w:r>
        <w:rPr>
          <w:rFonts w:ascii="Calibri" w:hAnsi="Calibri"/>
          <w:b/>
          <w:color w:val="525866"/>
          <w:sz w:val="22"/>
        </w:rPr>
        <w:t>7 of the last 8 quarters</w:t>
      </w:r>
      <w:r>
        <w:rPr>
          <w:rFonts w:ascii="Calibri" w:hAnsi="Calibri"/>
          <w:color w:val="525866"/>
          <w:sz w:val="22"/>
        </w:rPr>
        <w:t xml:space="preserve"> with an average surprise of ~12%. The Q1 2026 room night miss was entirely attributable to the Middle East conflict onset in late February; EPS still beat by +6.5%. Source: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set </w:t>
      </w:r>
      <w:r>
        <w:rPr>
          <w:rFonts w:ascii="Calibri" w:hAnsi="Calibri"/>
          <w:b/>
          <w:color w:val="525866"/>
          <w:sz w:val="22"/>
        </w:rPr>
        <w:t>conservatively at Q1 earnings</w:t>
      </w:r>
      <w:r>
        <w:rPr>
          <w:rFonts w:ascii="Calibri" w:hAnsi="Calibri"/>
          <w:color w:val="525866"/>
          <w:sz w:val="22"/>
        </w:rPr>
        <w:t xml:space="preserve"> (April 28, 2026) assuming Middle East impact through end of June; </w:t>
      </w:r>
      <w:r>
        <w:rPr>
          <w:rFonts w:ascii="Calibri" w:hAnsi="Calibri"/>
          <w:b/>
          <w:color w:val="525866"/>
          <w:sz w:val="22"/>
        </w:rPr>
        <w:t>no formal revision since</w:t>
      </w:r>
      <w:r>
        <w:rPr>
          <w:rFonts w:ascii="Calibri" w:hAnsi="Calibri"/>
          <w:color w:val="525866"/>
          <w:sz w:val="22"/>
        </w:rPr>
        <w:t>. The key question is whether the H2 recovery assumption holds — any upside commentary on the pace of Middle East normalization would be the primary catalyst.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Earnings,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Room Night Growth</w:t>
            </w:r>
          </w:p>
        </w:tc>
        <w:tc>
          <w:tcPr>
            <w:tcW w:type="dxa" w:w="1728"/>
          </w:tcPr>
          <w:p>
            <w:r>
              <w:rPr>
                <w:rFonts w:ascii="Calibri" w:hAnsi="Calibri"/>
                <w:sz w:val="22"/>
              </w:rPr>
              <w:t>+2% to +4%</w:t>
            </w:r>
          </w:p>
        </w:tc>
        <w:tc>
          <w:tcPr>
            <w:tcW w:type="dxa" w:w="1728"/>
          </w:tcPr>
          <w:p>
            <w:r>
              <w:rPr>
                <w:rFonts w:ascii="Calibri" w:hAnsi="Calibri"/>
                <w:sz w:val="22"/>
              </w:rPr>
              <w:t>—</w:t>
            </w:r>
          </w:p>
        </w:tc>
        <w:tc>
          <w:tcPr>
            <w:tcW w:type="dxa" w:w="1728"/>
          </w:tcPr>
          <w:p>
            <w:r>
              <w:rPr>
                <w:rFonts w:ascii="Calibri" w:hAnsi="Calibri"/>
                <w:sz w:val="22"/>
              </w:rPr>
              <w:t>+3.6% YoY (320M)</w:t>
            </w:r>
          </w:p>
        </w:tc>
        <w:tc>
          <w:tcPr>
            <w:tcW w:type="dxa" w:w="1728"/>
          </w:tcPr>
          <w:p>
            <w:r>
              <w:rPr>
                <w:rFonts w:ascii="Calibri" w:hAnsi="Calibri"/>
                <w:sz w:val="22"/>
              </w:rPr>
              <w:t>Assumes ~3pts ME headwind; normalized ~5–7%</w:t>
            </w:r>
          </w:p>
        </w:tc>
      </w:tr>
      <w:tr>
        <w:tc>
          <w:tcPr>
            <w:tcW w:type="dxa" w:w="1728"/>
          </w:tcPr>
          <w:p>
            <w:r>
              <w:rPr>
                <w:rFonts w:ascii="Calibri" w:hAnsi="Calibri"/>
                <w:sz w:val="22"/>
              </w:rPr>
              <w:t>Q2 Gross Bookings Growth</w:t>
            </w:r>
          </w:p>
        </w:tc>
        <w:tc>
          <w:tcPr>
            <w:tcW w:type="dxa" w:w="1728"/>
          </w:tcPr>
          <w:p>
            <w:r>
              <w:rPr>
                <w:rFonts w:ascii="Calibri" w:hAnsi="Calibri"/>
                <w:sz w:val="22"/>
              </w:rPr>
              <w:t>+4% to +6%</w:t>
            </w:r>
          </w:p>
        </w:tc>
        <w:tc>
          <w:tcPr>
            <w:tcW w:type="dxa" w:w="1728"/>
          </w:tcPr>
          <w:p>
            <w:r>
              <w:rPr>
                <w:rFonts w:ascii="Calibri" w:hAnsi="Calibri"/>
                <w:sz w:val="22"/>
              </w:rPr>
              <w:t>—</w:t>
            </w:r>
          </w:p>
        </w:tc>
        <w:tc>
          <w:tcPr>
            <w:tcW w:type="dxa" w:w="1728"/>
          </w:tcPr>
          <w:p>
            <w:r>
              <w:rPr>
                <w:rFonts w:ascii="Calibri" w:hAnsi="Calibri"/>
                <w:sz w:val="22"/>
              </w:rPr>
              <w:t>+5.9%</w:t>
            </w:r>
          </w:p>
        </w:tc>
        <w:tc>
          <w:tcPr>
            <w:tcW w:type="dxa" w:w="1728"/>
          </w:tcPr>
          <w:p>
            <w:r>
              <w:rPr>
                <w:rFonts w:ascii="Calibri" w:hAnsi="Calibri"/>
                <w:sz w:val="22"/>
              </w:rPr>
              <w:t>FX tailwind of ~2pts included</w:t>
            </w:r>
          </w:p>
        </w:tc>
      </w:tr>
      <w:tr>
        <w:tc>
          <w:tcPr>
            <w:tcW w:type="dxa" w:w="1728"/>
          </w:tcPr>
          <w:p>
            <w:r>
              <w:rPr>
                <w:rFonts w:ascii="Calibri" w:hAnsi="Calibri"/>
                <w:sz w:val="22"/>
              </w:rPr>
              <w:t>Q2 Revenue Growth</w:t>
            </w:r>
          </w:p>
        </w:tc>
        <w:tc>
          <w:tcPr>
            <w:tcW w:type="dxa" w:w="1728"/>
          </w:tcPr>
          <w:p>
            <w:r>
              <w:rPr>
                <w:rFonts w:ascii="Calibri" w:hAnsi="Calibri"/>
                <w:sz w:val="22"/>
              </w:rPr>
              <w:t>+4% to +6%</w:t>
            </w:r>
          </w:p>
        </w:tc>
        <w:tc>
          <w:tcPr>
            <w:tcW w:type="dxa" w:w="1728"/>
          </w:tcPr>
          <w:p>
            <w:r>
              <w:rPr>
                <w:rFonts w:ascii="Calibri" w:hAnsi="Calibri"/>
                <w:sz w:val="22"/>
              </w:rPr>
              <w:t>—</w:t>
            </w:r>
          </w:p>
        </w:tc>
        <w:tc>
          <w:tcPr>
            <w:tcW w:type="dxa" w:w="1728"/>
          </w:tcPr>
          <w:p>
            <w:r>
              <w:rPr>
                <w:rFonts w:ascii="Calibri" w:hAnsi="Calibri"/>
                <w:sz w:val="22"/>
              </w:rPr>
              <w:t>+5.8%</w:t>
            </w:r>
          </w:p>
        </w:tc>
        <w:tc>
          <w:tcPr>
            <w:tcW w:type="dxa" w:w="1728"/>
          </w:tcPr>
          <w:p>
            <w:r>
              <w:rPr>
                <w:rFonts w:ascii="Calibri" w:hAnsi="Calibri"/>
                <w:sz w:val="22"/>
              </w:rPr>
              <w:t>In line with guidance midpoint</w:t>
            </w:r>
          </w:p>
        </w:tc>
      </w:tr>
      <w:tr>
        <w:tc>
          <w:tcPr>
            <w:tcW w:type="dxa" w:w="1728"/>
          </w:tcPr>
          <w:p>
            <w:r>
              <w:rPr>
                <w:rFonts w:ascii="Calibri" w:hAnsi="Calibri"/>
                <w:sz w:val="22"/>
              </w:rPr>
              <w:t>Q2 Adj. EBITDA Growth</w:t>
            </w:r>
          </w:p>
        </w:tc>
        <w:tc>
          <w:tcPr>
            <w:tcW w:type="dxa" w:w="1728"/>
          </w:tcPr>
          <w:p>
            <w:r>
              <w:rPr>
                <w:rFonts w:ascii="Calibri" w:hAnsi="Calibri"/>
                <w:sz w:val="22"/>
              </w:rPr>
              <w:t>+4% to +6%</w:t>
            </w:r>
          </w:p>
        </w:tc>
        <w:tc>
          <w:tcPr>
            <w:tcW w:type="dxa" w:w="1728"/>
          </w:tcPr>
          <w:p>
            <w:r>
              <w:rPr>
                <w:rFonts w:ascii="Calibri" w:hAnsi="Calibri"/>
                <w:sz w:val="22"/>
              </w:rPr>
              <w:t>—</w:t>
            </w:r>
          </w:p>
        </w:tc>
        <w:tc>
          <w:tcPr>
            <w:tcW w:type="dxa" w:w="1728"/>
          </w:tcPr>
          <w:p>
            <w:r>
              <w:rPr>
                <w:rFonts w:ascii="Calibri" w:hAnsi="Calibri"/>
                <w:sz w:val="22"/>
              </w:rPr>
              <w:t>+5.6%</w:t>
            </w:r>
          </w:p>
        </w:tc>
        <w:tc>
          <w:tcPr>
            <w:tcW w:type="dxa" w:w="1728"/>
          </w:tcPr>
          <w:p>
            <w:r>
              <w:rPr>
                <w:rFonts w:ascii="Calibri" w:hAnsi="Calibri"/>
                <w:sz w:val="22"/>
              </w:rPr>
              <w:t>Margin expansion 0–25bps FY</w:t>
            </w:r>
          </w:p>
        </w:tc>
      </w:tr>
      <w:tr>
        <w:tc>
          <w:tcPr>
            <w:tcW w:type="dxa" w:w="1728"/>
          </w:tcPr>
          <w:p>
            <w:r>
              <w:rPr>
                <w:rFonts w:ascii="Calibri" w:hAnsi="Calibri"/>
                <w:sz w:val="22"/>
              </w:rPr>
              <w:t>FY 2026 Gross Bookings Growth</w:t>
            </w:r>
          </w:p>
        </w:tc>
        <w:tc>
          <w:tcPr>
            <w:tcW w:type="dxa" w:w="1728"/>
          </w:tcPr>
          <w:p>
            <w:r>
              <w:rPr>
                <w:rFonts w:ascii="Calibri" w:hAnsi="Calibri"/>
                <w:sz w:val="22"/>
              </w:rPr>
              <w:t>High single digits to low double digits</w:t>
            </w:r>
          </w:p>
        </w:tc>
        <w:tc>
          <w:tcPr>
            <w:tcW w:type="dxa" w:w="1728"/>
          </w:tcPr>
          <w:p>
            <w:r>
              <w:rPr>
                <w:rFonts w:ascii="Calibri" w:hAnsi="Calibri"/>
                <w:sz w:val="22"/>
              </w:rPr>
              <w:t>—</w:t>
            </w:r>
          </w:p>
        </w:tc>
        <w:tc>
          <w:tcPr>
            <w:tcW w:type="dxa" w:w="1728"/>
          </w:tcPr>
          <w:p>
            <w:r>
              <w:rPr>
                <w:rFonts w:ascii="Calibri" w:hAnsi="Calibri"/>
                <w:sz w:val="22"/>
              </w:rPr>
              <w:t>+9.6%</w:t>
            </w:r>
          </w:p>
        </w:tc>
        <w:tc>
          <w:tcPr>
            <w:tcW w:type="dxa" w:w="1728"/>
          </w:tcPr>
          <w:p>
            <w:r>
              <w:rPr>
                <w:rFonts w:ascii="Calibri" w:hAnsi="Calibri"/>
                <w:sz w:val="22"/>
              </w:rPr>
              <w:t>Assumes ME recovery in H2; FX tailwind ~2pts</w:t>
            </w:r>
          </w:p>
        </w:tc>
      </w:tr>
      <w:tr>
        <w:tc>
          <w:tcPr>
            <w:tcW w:type="dxa" w:w="1728"/>
          </w:tcPr>
          <w:p>
            <w:r>
              <w:rPr>
                <w:rFonts w:ascii="Calibri" w:hAnsi="Calibri"/>
                <w:sz w:val="22"/>
              </w:rPr>
              <w:t>FY 2026 Revenue Growth</w:t>
            </w:r>
          </w:p>
        </w:tc>
        <w:tc>
          <w:tcPr>
            <w:tcW w:type="dxa" w:w="1728"/>
          </w:tcPr>
          <w:p>
            <w:r>
              <w:rPr>
                <w:rFonts w:ascii="Calibri" w:hAnsi="Calibri"/>
                <w:sz w:val="22"/>
              </w:rPr>
              <w:t>High single digits</w:t>
            </w:r>
          </w:p>
        </w:tc>
        <w:tc>
          <w:tcPr>
            <w:tcW w:type="dxa" w:w="1728"/>
          </w:tcPr>
          <w:p>
            <w:r>
              <w:rPr>
                <w:rFonts w:ascii="Calibri" w:hAnsi="Calibri"/>
                <w:sz w:val="22"/>
              </w:rPr>
              <w:t>—</w:t>
            </w:r>
          </w:p>
        </w:tc>
        <w:tc>
          <w:tcPr>
            <w:tcW w:type="dxa" w:w="1728"/>
          </w:tcPr>
          <w:p>
            <w:r>
              <w:rPr>
                <w:rFonts w:ascii="Calibri" w:hAnsi="Calibri"/>
                <w:sz w:val="22"/>
              </w:rPr>
              <w:t>~9.6%</w:t>
            </w:r>
          </w:p>
        </w:tc>
        <w:tc>
          <w:tcPr>
            <w:tcW w:type="dxa" w:w="1728"/>
          </w:tcPr>
          <w:p>
            <w:r>
              <w:rPr>
                <w:rFonts w:ascii="Calibri" w:hAnsi="Calibri"/>
                <w:sz w:val="22"/>
              </w:rPr>
              <w:t>FX tailwind ~1.5pts</w:t>
            </w:r>
          </w:p>
        </w:tc>
      </w:tr>
      <w:tr>
        <w:tc>
          <w:tcPr>
            <w:tcW w:type="dxa" w:w="1728"/>
          </w:tcPr>
          <w:p>
            <w:r>
              <w:rPr>
                <w:rFonts w:ascii="Calibri" w:hAnsi="Calibri"/>
                <w:sz w:val="22"/>
              </w:rPr>
              <w:t>FY 2026 Adj. EPS Growth</w:t>
            </w:r>
          </w:p>
        </w:tc>
        <w:tc>
          <w:tcPr>
            <w:tcW w:type="dxa" w:w="1728"/>
          </w:tcPr>
          <w:p>
            <w:r>
              <w:rPr>
                <w:rFonts w:ascii="Calibri" w:hAnsi="Calibri"/>
                <w:sz w:val="22"/>
              </w:rPr>
              <w:t>Low to mid-teens</w:t>
            </w:r>
          </w:p>
        </w:tc>
        <w:tc>
          <w:tcPr>
            <w:tcW w:type="dxa" w:w="1728"/>
          </w:tcPr>
          <w:p>
            <w:r>
              <w:rPr>
                <w:rFonts w:ascii="Calibri" w:hAnsi="Calibri"/>
                <w:sz w:val="22"/>
              </w:rPr>
              <w:t>—</w:t>
            </w:r>
          </w:p>
        </w:tc>
        <w:tc>
          <w:tcPr>
            <w:tcW w:type="dxa" w:w="1728"/>
          </w:tcPr>
          <w:p>
            <w:r>
              <w:rPr>
                <w:rFonts w:ascii="Calibri" w:hAnsi="Calibri"/>
                <w:sz w:val="22"/>
              </w:rPr>
              <w:t>+10.2%</w:t>
            </w:r>
          </w:p>
        </w:tc>
        <w:tc>
          <w:tcPr>
            <w:tcW w:type="dxa" w:w="1728"/>
          </w:tcPr>
          <w:p>
            <w:r>
              <w:rPr>
                <w:rFonts w:ascii="Calibri" w:hAnsi="Calibri"/>
                <w:sz w:val="22"/>
              </w:rPr>
              <w:t>Long-term target 15%+; consensus at low end of range</w:t>
            </w:r>
          </w:p>
        </w:tc>
      </w:tr>
      <w:tr>
        <w:tc>
          <w:tcPr>
            <w:tcW w:type="dxa" w:w="1728"/>
          </w:tcPr>
          <w:p>
            <w:r>
              <w:rPr>
                <w:rFonts w:ascii="Calibri" w:hAnsi="Calibri"/>
                <w:sz w:val="22"/>
              </w:rPr>
              <w:t>FY 2026 Adj. EBITDA Margin</w:t>
            </w:r>
          </w:p>
        </w:tc>
        <w:tc>
          <w:tcPr>
            <w:tcW w:type="dxa" w:w="1728"/>
          </w:tcPr>
          <w:p>
            <w:r>
              <w:rPr>
                <w:rFonts w:ascii="Calibri" w:hAnsi="Calibri"/>
                <w:sz w:val="22"/>
              </w:rPr>
              <w:t>Expand 0–25bps YoY</w:t>
            </w:r>
          </w:p>
        </w:tc>
        <w:tc>
          <w:tcPr>
            <w:tcW w:type="dxa" w:w="1728"/>
          </w:tcPr>
          <w:p>
            <w:r>
              <w:rPr>
                <w:rFonts w:ascii="Calibri" w:hAnsi="Calibri"/>
                <w:sz w:val="22"/>
              </w:rPr>
              <w:t>—</w:t>
            </w:r>
          </w:p>
        </w:tc>
        <w:tc>
          <w:tcPr>
            <w:tcW w:type="dxa" w:w="1728"/>
          </w:tcPr>
          <w:p>
            <w:r>
              <w:rPr>
                <w:rFonts w:ascii="Calibri" w:hAnsi="Calibri"/>
                <w:sz w:val="22"/>
              </w:rPr>
              <w:t>~37.1%</w:t>
            </w:r>
          </w:p>
        </w:tc>
        <w:tc>
          <w:tcPr>
            <w:tcW w:type="dxa" w:w="1728"/>
          </w:tcPr>
          <w:p>
            <w:r>
              <w:rPr>
                <w:rFonts w:ascii="Calibri" w:hAnsi="Calibri"/>
                <w:sz w:val="22"/>
              </w:rPr>
              <w:t>Slight expansion from FY25; in line with guidance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essentially flat since the Q1 print</w:t>
      </w:r>
      <w:r>
        <w:rPr>
          <w:rFonts w:ascii="Calibri" w:hAnsi="Calibri"/>
          <w:color w:val="525866"/>
          <w:sz w:val="22"/>
        </w:rPr>
        <w:t xml:space="preserve"> — consensus has not moved materially, suggesting the market is waiting for Q2 results to reset H2 expectations. The gap between current consensus and guidance midpoint is minimal, leaving room for upside if the Middle East recovery is faster than assumed.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3, 2026 (5 days post Q1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Delta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Delta</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Room Nights — Q2 2026</w:t>
            </w:r>
          </w:p>
        </w:tc>
        <w:tc>
          <w:tcPr>
            <w:tcW w:type="dxa" w:w="1080"/>
          </w:tcPr>
          <w:p>
            <w:r>
              <w:rPr>
                <w:rFonts w:ascii="Calibri" w:hAnsi="Calibri"/>
                <w:sz w:val="22"/>
              </w:rPr>
              <w:t>320M</w:t>
            </w:r>
          </w:p>
        </w:tc>
        <w:tc>
          <w:tcPr>
            <w:tcW w:type="dxa" w:w="1080"/>
          </w:tcPr>
          <w:p>
            <w:r>
              <w:rPr>
                <w:rFonts w:ascii="Calibri" w:hAnsi="Calibri"/>
                <w:sz w:val="22"/>
              </w:rPr>
              <w:t>320M</w:t>
            </w:r>
          </w:p>
        </w:tc>
        <w:tc>
          <w:tcPr>
            <w:tcW w:type="dxa" w:w="1080"/>
          </w:tcPr>
          <w:p>
            <w:r>
              <w:rPr>
                <w:rFonts w:ascii="Calibri" w:hAnsi="Calibri"/>
                <w:sz w:val="22"/>
              </w:rPr>
              <w:t>~0%</w:t>
            </w:r>
          </w:p>
        </w:tc>
        <w:tc>
          <w:tcPr>
            <w:tcW w:type="dxa" w:w="1080"/>
          </w:tcPr>
          <w:p>
            <w:r>
              <w:rPr>
                <w:rFonts w:ascii="Calibri" w:hAnsi="Calibri"/>
                <w:sz w:val="22"/>
              </w:rPr>
              <w:t>+2% to +4%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Revenue — Q2 2026</w:t>
            </w:r>
          </w:p>
        </w:tc>
        <w:tc>
          <w:tcPr>
            <w:tcW w:type="dxa" w:w="1080"/>
          </w:tcPr>
          <w:p>
            <w:r>
              <w:rPr>
                <w:rFonts w:ascii="Calibri" w:hAnsi="Calibri"/>
                <w:sz w:val="22"/>
              </w:rPr>
              <w:t>$7,179M</w:t>
            </w:r>
          </w:p>
        </w:tc>
        <w:tc>
          <w:tcPr>
            <w:tcW w:type="dxa" w:w="1080"/>
          </w:tcPr>
          <w:p>
            <w:r>
              <w:rPr>
                <w:rFonts w:ascii="Calibri" w:hAnsi="Calibri"/>
                <w:sz w:val="22"/>
              </w:rPr>
              <w:t>$7,191M</w:t>
            </w:r>
          </w:p>
        </w:tc>
        <w:tc>
          <w:tcPr>
            <w:tcW w:type="dxa" w:w="1080"/>
          </w:tcPr>
          <w:p>
            <w:r>
              <w:rPr>
                <w:rFonts w:ascii="Calibri" w:hAnsi="Calibri"/>
                <w:sz w:val="22"/>
              </w:rPr>
              <w:t>+0.2%</w:t>
            </w:r>
          </w:p>
        </w:tc>
        <w:tc>
          <w:tcPr>
            <w:tcW w:type="dxa" w:w="1080"/>
          </w:tcPr>
          <w:p>
            <w:r>
              <w:rPr>
                <w:rFonts w:ascii="Calibri" w:hAnsi="Calibri"/>
                <w:sz w:val="22"/>
              </w:rPr>
              <w:t>+4% to +6%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Adj. EPS — Q2 2026</w:t>
            </w:r>
          </w:p>
        </w:tc>
        <w:tc>
          <w:tcPr>
            <w:tcW w:type="dxa" w:w="1080"/>
          </w:tcPr>
          <w:p>
            <w:r>
              <w:rPr>
                <w:rFonts w:ascii="Calibri" w:hAnsi="Calibri"/>
                <w:sz w:val="22"/>
              </w:rPr>
              <w:t>$2.40</w:t>
            </w:r>
          </w:p>
        </w:tc>
        <w:tc>
          <w:tcPr>
            <w:tcW w:type="dxa" w:w="1080"/>
          </w:tcPr>
          <w:p>
            <w:r>
              <w:rPr>
                <w:rFonts w:ascii="Calibri" w:hAnsi="Calibri"/>
                <w:sz w:val="22"/>
              </w:rPr>
              <w:t>$2.41</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$29,382M</w:t>
            </w:r>
          </w:p>
        </w:tc>
        <w:tc>
          <w:tcPr>
            <w:tcW w:type="dxa" w:w="1080"/>
          </w:tcPr>
          <w:p>
            <w:r>
              <w:rPr>
                <w:rFonts w:ascii="Calibri" w:hAnsi="Calibri"/>
                <w:sz w:val="22"/>
              </w:rPr>
              <w:t>$29,342M</w:t>
            </w:r>
          </w:p>
        </w:tc>
        <w:tc>
          <w:tcPr>
            <w:tcW w:type="dxa" w:w="1080"/>
          </w:tcPr>
          <w:p>
            <w:r>
              <w:rPr>
                <w:rFonts w:ascii="Calibri" w:hAnsi="Calibri"/>
                <w:sz w:val="22"/>
              </w:rPr>
              <w:t>-0.1%</w:t>
            </w:r>
          </w:p>
        </w:tc>
        <w:tc>
          <w:tcPr>
            <w:tcW w:type="dxa" w:w="1080"/>
          </w:tcPr>
          <w:p>
            <w:r>
              <w:rPr>
                <w:rFonts w:ascii="Calibri" w:hAnsi="Calibri"/>
                <w:sz w:val="22"/>
              </w:rPr>
              <w:t>High 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 2026</w:t>
            </w:r>
          </w:p>
        </w:tc>
        <w:tc>
          <w:tcPr>
            <w:tcW w:type="dxa" w:w="1080"/>
          </w:tcPr>
          <w:p>
            <w:r>
              <w:rPr>
                <w:rFonts w:ascii="Calibri" w:hAnsi="Calibri"/>
                <w:sz w:val="22"/>
              </w:rPr>
              <w:t>$10.41</w:t>
            </w:r>
          </w:p>
        </w:tc>
        <w:tc>
          <w:tcPr>
            <w:tcW w:type="dxa" w:w="1080"/>
          </w:tcPr>
          <w:p>
            <w:r>
              <w:rPr>
                <w:rFonts w:ascii="Calibri" w:hAnsi="Calibri"/>
                <w:sz w:val="22"/>
              </w:rPr>
              <w:t>$10.42</w:t>
            </w:r>
          </w:p>
        </w:tc>
        <w:tc>
          <w:tcPr>
            <w:tcW w:type="dxa" w:w="1080"/>
          </w:tcPr>
          <w:p>
            <w:r>
              <w:rPr>
                <w:rFonts w:ascii="Calibri" w:hAnsi="Calibri"/>
                <w:sz w:val="22"/>
              </w:rPr>
              <w:t>+0.1%</w:t>
            </w:r>
          </w:p>
        </w:tc>
        <w:tc>
          <w:tcPr>
            <w:tcW w:type="dxa" w:w="1080"/>
          </w:tcPr>
          <w:p>
            <w:r>
              <w:rPr>
                <w:rFonts w:ascii="Calibri" w:hAnsi="Calibri"/>
                <w:sz w:val="22"/>
              </w:rPr>
              <w:t>Low to mid-teens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(low end of range)</w:t>
            </w:r>
          </w:p>
        </w:tc>
      </w:tr>
    </w:tbl>
    <w:p>
      <w:r>
        <w:rPr>
          <w:rFonts w:ascii="Calibri" w:hAnsi="Calibri"/>
          <w:color w:val="525866"/>
          <w:sz w:val="22"/>
        </w:rPr>
        <w:t xml:space="preserve">Estimates have been remarkably stable since the Q1 print, with virtually no revision in either direction. This suggests the Street is treating the Middle East headwind as fully priced and is waiting for Q2 results to determine whether H2 recovery assumptions are credible. </w:t>
      </w:r>
      <w:r>
        <w:rPr>
          <w:rFonts w:ascii="Calibri" w:hAnsi="Calibri"/>
          <w:b/>
          <w:color w:val="525866"/>
          <w:sz w:val="22"/>
        </w:rPr>
        <w:t>Any upside to room nights or a raise in H2 guidance would likely drive meaningful positive estimate revisions.</w:t>
      </w:r>
      <w:r>
        <w:rPr>
          <w:rFonts w:ascii="Calibri" w:hAnsi="Calibri"/>
          <w:color w:val="525866"/>
          <w:sz w:val="22"/>
        </w:rPr>
        <w:t xml:space="preserve"> Source: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BKNG is up </w:t>
      </w:r>
      <w:r>
        <w:rPr>
          <w:rFonts w:ascii="Calibri" w:hAnsi="Calibri"/>
          <w:b/>
          <w:color w:val="525866"/>
          <w:sz w:val="22"/>
        </w:rPr>
        <w:t>~11% since Q1 earnings</w:t>
      </w:r>
      <w:r>
        <w:rPr>
          <w:rFonts w:ascii="Calibri" w:hAnsi="Calibri"/>
          <w:color w:val="525866"/>
          <w:sz w:val="22"/>
        </w:rPr>
        <w:t xml:space="preserve">, outperforming SPY (+6.5%) but </w:t>
      </w:r>
      <w:r>
        <w:rPr>
          <w:rFonts w:ascii="Calibri" w:hAnsi="Calibri"/>
          <w:b/>
          <w:color w:val="525866"/>
          <w:sz w:val="22"/>
        </w:rPr>
        <w:t>lagging EXPE (+23%)</w:t>
      </w:r>
      <w:r>
        <w:rPr>
          <w:rFonts w:ascii="Calibri" w:hAnsi="Calibri"/>
          <w:color w:val="525866"/>
          <w:sz w:val="22"/>
        </w:rPr>
        <w:t>, suggesting the market has partially priced in a recovery but BKNG has not fully re-rated. The underperformance vs. EXPE likely reflects BKNG’s greater Middle East exposure and more conservative H2 guidance.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BKNG vs. EXPE (Peer) vs. S&amp;P 500 (SPY) — Indexed to 100 at Q1 2026 Earnings (April 28, 2026). Source: Yahoo Finance.</w:t>
      </w:r>
    </w:p>
    <w:p>
      <w:r>
        <w:rPr>
          <w:rFonts w:ascii="Calibri" w:hAnsi="Calibri"/>
          <w:b/>
          <w:color w:val="525866"/>
          <w:sz w:val="22"/>
        </w:rPr>
        <w:t xml:space="preserve">Sector ETF note: </w:t>
      </w:r>
      <w:r>
        <w:rPr>
          <w:rFonts w:ascii="Calibri" w:hAnsi="Calibri"/>
          <w:color w:val="525866"/>
          <w:sz w:val="22"/>
        </w:rPr>
        <w:t>No pure-play OTA ETF exists; EXPE (Expedia Group) is used as the closest direct OTA peer for comparison. Key observations:</w:t>
      </w:r>
    </w:p>
    <w:p>
      <w:pPr>
        <w:pStyle w:val="ListBullet"/>
        <w:ind w:left="360" w:hanging="360"/>
      </w:pPr>
      <w:r>
        <w:rPr>
          <w:rFonts w:ascii="Calibri" w:hAnsi="Calibri"/>
          <w:b/>
          <w:color w:val="525866"/>
          <w:sz w:val="22"/>
        </w:rPr>
        <w:t xml:space="preserve">Post-earnings selloff (Apr 28 – May 15): </w:t>
      </w:r>
      <w:r>
        <w:rPr>
          <w:rFonts w:ascii="Calibri" w:hAnsi="Calibri"/>
          <w:color w:val="525866"/>
          <w:sz w:val="22"/>
        </w:rPr>
        <w:t>BKNG dropped sharply from $173.38 to ~$154 as the market digested the guidance cut and Middle East headwind. EXPE also sold off on its own Q1 results (May 7–8).</w:t>
      </w:r>
    </w:p>
    <w:p>
      <w:pPr>
        <w:pStyle w:val="ListBullet"/>
        <w:ind w:left="360" w:hanging="360"/>
      </w:pPr>
      <w:r>
        <w:rPr>
          <w:rFonts w:ascii="Calibri" w:hAnsi="Calibri"/>
          <w:b/>
          <w:color w:val="525866"/>
          <w:sz w:val="22"/>
        </w:rPr>
        <w:t xml:space="preserve">Recovery phase (late May – June): </w:t>
      </w:r>
      <w:r>
        <w:rPr>
          <w:rFonts w:ascii="Calibri" w:hAnsi="Calibri"/>
          <w:color w:val="525866"/>
          <w:sz w:val="22"/>
        </w:rPr>
        <w:t>BKNG began recovering in late May, coinciding with positive peer commentary from MAR and HLT at conferences confirming Middle East headwinds were moderating.</w:t>
      </w:r>
    </w:p>
    <w:p>
      <w:pPr>
        <w:pStyle w:val="ListBullet"/>
        <w:ind w:left="360" w:hanging="360"/>
      </w:pPr>
      <w:r>
        <w:rPr>
          <w:rFonts w:ascii="Calibri" w:hAnsi="Calibri"/>
          <w:b/>
          <w:color w:val="525866"/>
          <w:sz w:val="22"/>
        </w:rPr>
        <w:t xml:space="preserve">EXPE divergence (late July): </w:t>
      </w:r>
      <w:r>
        <w:rPr>
          <w:rFonts w:ascii="Calibri" w:hAnsi="Calibri"/>
          <w:color w:val="525866"/>
          <w:sz w:val="22"/>
        </w:rPr>
        <w:t>EXPE surged ~20% in a single week (July 27–29) on its own Q2 earnings beat, creating a visible divergence vs. BKNG. This suggests the OTA demand environment is strong and BKNG’s conservative guide may prove beatable.</w:t>
      </w:r>
    </w:p>
    <w:p>
      <w:pPr>
        <w:pStyle w:val="ListBullet"/>
        <w:ind w:left="360" w:hanging="360"/>
      </w:pPr>
      <w:r>
        <w:rPr>
          <w:rFonts w:ascii="Calibri" w:hAnsi="Calibri"/>
          <w:b/>
          <w:color w:val="525866"/>
          <w:sz w:val="22"/>
        </w:rPr>
        <w:t xml:space="preserve">Current level (Aug 3): </w:t>
      </w:r>
      <w:r>
        <w:rPr>
          <w:rFonts w:ascii="Calibri" w:hAnsi="Calibri"/>
          <w:color w:val="525866"/>
          <w:sz w:val="22"/>
        </w:rPr>
        <w:t>BKNG at $192.71, up +11.1% from the earnings-day close of $173.38. SPY +6.5%, EXPE +23.1% over the same period. Source: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emerging evidence from hotel peers (MAR, HLT) that </w:t>
      </w:r>
      <w:r>
        <w:rPr>
          <w:rFonts w:ascii="Calibri" w:hAnsi="Calibri"/>
          <w:b/>
          <w:color w:val="525866"/>
          <w:sz w:val="22"/>
        </w:rPr>
        <w:t>Middle East travel disruption is moderating faster than feared</w:t>
      </w:r>
      <w:r>
        <w:rPr>
          <w:rFonts w:ascii="Calibri" w:hAnsi="Calibri"/>
          <w:color w:val="525866"/>
          <w:sz w:val="22"/>
        </w:rPr>
        <w:t>, which is a positive read-through for BKNG’s H2 recovery assumption.</w:t>
      </w:r>
    </w:p>
    <w:p>
      <w:pPr>
        <w:pStyle w:val="ListBullet"/>
        <w:ind w:left="360" w:hanging="360"/>
      </w:pPr>
      <w:r>
        <w:rPr>
          <w:rFonts w:ascii="Calibri" w:hAnsi="Calibri"/>
          <w:b/>
          <w:color w:val="525866"/>
          <w:sz w:val="22"/>
        </w:rPr>
        <w:t xml:space="preserve">August 3, 2026 — BKNG Q2 Earnings Tomorrow (Aug 4): </w:t>
      </w:r>
      <w:r>
        <w:rPr>
          <w:rFonts w:ascii="Calibri" w:hAnsi="Calibri"/>
          <w:color w:val="525866"/>
          <w:sz w:val="22"/>
        </w:rPr>
        <w:t>Company announced Q2 results will be available August 4. Key focus: room night growth vs. 2–4% guidance, H2 guidance raise, and Middle East recovery commentary.</w:t>
      </w:r>
    </w:p>
    <w:p>
      <w:pPr>
        <w:pStyle w:val="ListBullet"/>
        <w:ind w:left="360" w:hanging="360"/>
      </w:pPr>
      <w:r>
        <w:rPr>
          <w:rFonts w:ascii="Calibri" w:hAnsi="Calibri"/>
          <w:b/>
          <w:color w:val="525866"/>
          <w:sz w:val="22"/>
        </w:rPr>
        <w:t xml:space="preserve">August 3, 2026 — Marriott Q2 Earnings (Positive Read-Through): </w:t>
      </w:r>
      <w:r>
        <w:rPr>
          <w:rFonts w:ascii="Calibri" w:hAnsi="Calibri"/>
          <w:color w:val="525866"/>
          <w:sz w:val="22"/>
        </w:rPr>
        <w:t xml:space="preserve">MAR reported global RevPAR +3.4%, with U.S./Canada +5% (highest in 13 quarters). Middle East RevPAR -43% but slightly better than expected on domestic leisure demand. MAR raised full-year RevPAR guidance to 3–3.5%. Strong demand trends extended into July across all chain scales. </w:t>
      </w:r>
      <w:r>
        <w:rPr>
          <w:rFonts w:ascii="Calibri" w:hAnsi="Calibri"/>
          <w:i/>
          <w:color w:val="525866"/>
          <w:sz w:val="22"/>
        </w:rPr>
        <w:t>Implication: Broad-based hotel demand remains healthy; Middle East impact is contained and improving.</w:t>
      </w:r>
    </w:p>
    <w:p>
      <w:pPr>
        <w:pStyle w:val="ListBullet"/>
        <w:ind w:left="360" w:hanging="360"/>
      </w:pPr>
      <w:r>
        <w:rPr>
          <w:rFonts w:ascii="Calibri" w:hAnsi="Calibri"/>
          <w:b/>
          <w:color w:val="525866"/>
          <w:sz w:val="22"/>
        </w:rPr>
        <w:t xml:space="preserve">July 28, 2026 — Hilton Q2 Earnings (Positive Read-Through): </w:t>
      </w:r>
      <w:r>
        <w:rPr>
          <w:rFonts w:ascii="Calibri" w:hAnsi="Calibri"/>
          <w:color w:val="525866"/>
          <w:sz w:val="22"/>
        </w:rPr>
        <w:t xml:space="preserve">HLT reported system-wide RevPAR +3.9% YoY, beating expectations. U.S. RevPAR +5.4%, driven by business transient and group recovery. Middle East RevPAR down ~30% but better than prior expectations. HLT raised full-year RevPAR guidance to 3–3.5%. </w:t>
      </w:r>
      <w:r>
        <w:rPr>
          <w:rFonts w:ascii="Calibri" w:hAnsi="Calibri"/>
          <w:i/>
          <w:color w:val="525866"/>
          <w:sz w:val="22"/>
        </w:rPr>
        <w:t>Implication: Middle East headwind is moderating, supporting BKNG’s H2 recovery assumption.</w:t>
      </w:r>
    </w:p>
    <w:p>
      <w:pPr>
        <w:pStyle w:val="ListBullet"/>
        <w:ind w:left="360" w:hanging="360"/>
      </w:pPr>
      <w:r>
        <w:rPr>
          <w:rFonts w:ascii="Calibri" w:hAnsi="Calibri"/>
          <w:b/>
          <w:color w:val="525866"/>
          <w:sz w:val="22"/>
        </w:rPr>
        <w:t xml:space="preserve">July 10–16, 2026 — Delta and United Q2 Earnings (Positive Read-Through): </w:t>
      </w:r>
      <w:r>
        <w:rPr>
          <w:rFonts w:ascii="Calibri" w:hAnsi="Calibri"/>
          <w:color w:val="525866"/>
          <w:sz w:val="22"/>
        </w:rPr>
        <w:t xml:space="preserve">DAL reported record revenue +14% YoY; UAL reported total revenue +16% YoY. Both airlines cited robust demand, strong international travel (particularly transatlantic and Pacific), and positive forward booking trends into Q3. UAL noted 58% booked through Q3 with sell-in yields up mid-to-high teens YoY. </w:t>
      </w:r>
      <w:r>
        <w:rPr>
          <w:rFonts w:ascii="Calibri" w:hAnsi="Calibri"/>
          <w:i/>
          <w:color w:val="525866"/>
          <w:sz w:val="22"/>
        </w:rPr>
        <w:t>Implication: Strong air travel demand is a leading indicator for accommodation bookings; international travel recovery is intact.</w:t>
      </w:r>
    </w:p>
    <w:p>
      <w:pPr>
        <w:pStyle w:val="ListBullet"/>
        <w:ind w:left="360" w:hanging="360"/>
      </w:pPr>
      <w:r>
        <w:rPr>
          <w:rFonts w:ascii="Calibri" w:hAnsi="Calibri"/>
          <w:b/>
          <w:color w:val="525866"/>
          <w:sz w:val="22"/>
        </w:rPr>
        <w:t xml:space="preserve">May 11, 2026 — BKNG Completes EUR 1.9B Senior Notes Offering: </w:t>
      </w:r>
      <w:r>
        <w:rPr>
          <w:rFonts w:ascii="Calibri" w:hAnsi="Calibri"/>
          <w:color w:val="525866"/>
          <w:sz w:val="22"/>
        </w:rPr>
        <w:t xml:space="preserve">Booking Holdings completed a EUR 1.9 billion senior notes offering (two tranches). Leverage remains ~1.8x vs. ~2x target. </w:t>
      </w:r>
      <w:r>
        <w:rPr>
          <w:rFonts w:ascii="Calibri" w:hAnsi="Calibri"/>
          <w:i/>
          <w:color w:val="525866"/>
          <w:sz w:val="22"/>
        </w:rPr>
        <w:t>Implication: Opportunistic capital raise at favorable rates; supports continued buyback capacity.</w:t>
      </w:r>
    </w:p>
    <w:p>
      <w:pPr>
        <w:pStyle w:val="ListBullet"/>
        <w:ind w:left="360" w:hanging="360"/>
      </w:pPr>
      <w:r>
        <w:rPr>
          <w:rFonts w:ascii="Calibri" w:hAnsi="Calibri"/>
          <w:b/>
          <w:color w:val="525866"/>
          <w:sz w:val="22"/>
        </w:rPr>
        <w:t xml:space="preserve">May 7, 2026 — BKNG Issues $750M Senior Notes: </w:t>
      </w:r>
      <w:r>
        <w:rPr>
          <w:rFonts w:ascii="Calibri" w:hAnsi="Calibri"/>
          <w:color w:val="525866"/>
          <w:sz w:val="22"/>
        </w:rPr>
        <w:t xml:space="preserve">Booking Holdings issued $750M in 5.375% senior notes due 2036. </w:t>
      </w:r>
      <w:r>
        <w:rPr>
          <w:rFonts w:ascii="Calibri" w:hAnsi="Calibri"/>
          <w:i/>
          <w:color w:val="525866"/>
          <w:sz w:val="22"/>
        </w:rPr>
        <w:t>Implication: Proactive debt management ahead of near-term maturities; no change to capital return strategy.</w:t>
      </w:r>
    </w:p>
    <w:p>
      <w:pPr>
        <w:pStyle w:val="ListBullet"/>
        <w:ind w:left="360" w:hanging="360"/>
      </w:pPr>
      <w:r>
        <w:rPr>
          <w:rFonts w:ascii="Calibri" w:hAnsi="Calibri"/>
          <w:b/>
          <w:color w:val="525866"/>
          <w:sz w:val="22"/>
        </w:rPr>
        <w:t xml:space="preserve">May 7, 2026 — Expedia Q1 Earnings (Peer Read-Through): </w:t>
      </w:r>
      <w:r>
        <w:rPr>
          <w:rFonts w:ascii="Calibri" w:hAnsi="Calibri"/>
          <w:color w:val="525866"/>
          <w:sz w:val="22"/>
        </w:rPr>
        <w:t xml:space="preserve">EXPE reported Q1 gross bookings +13%, consumer brands +10% (fastest in 12 quarters). Guided Q2 gross bookings growth 7–9%, revenue growth 9–11%. Cancellations normalized in April and bookings reaccelerated. </w:t>
      </w:r>
      <w:r>
        <w:rPr>
          <w:rFonts w:ascii="Calibri" w:hAnsi="Calibri"/>
          <w:i/>
          <w:color w:val="525866"/>
          <w:sz w:val="22"/>
        </w:rPr>
        <w:t>Implication: OTA demand recovery is real; BKNG’s more conservative Q2 guide may prove beatable.</w:t>
      </w:r>
    </w:p>
    <w:p>
      <w:pPr>
        <w:pStyle w:val="ListBullet"/>
        <w:ind w:left="360" w:hanging="360"/>
      </w:pPr>
      <w:r>
        <w:rPr>
          <w:rFonts w:ascii="Calibri" w:hAnsi="Calibri"/>
          <w:b/>
          <w:color w:val="525866"/>
          <w:sz w:val="22"/>
        </w:rPr>
        <w:t xml:space="preserve">May 7, 2026 — Airbnb Q1 Earnings (Peer Read-Through): </w:t>
      </w:r>
      <w:r>
        <w:rPr>
          <w:rFonts w:ascii="Calibri" w:hAnsi="Calibri"/>
          <w:color w:val="525866"/>
          <w:sz w:val="22"/>
        </w:rPr>
        <w:t xml:space="preserve">ABNB reported GBV +19% YoY, nights booked +9% (with ~100bps ME headwind). Raised full-year revenue guidance to low-to-mid teens growth. ADR +9% YoY (+4% ex-FX). </w:t>
      </w:r>
      <w:r>
        <w:rPr>
          <w:rFonts w:ascii="Calibri" w:hAnsi="Calibri"/>
          <w:i/>
          <w:color w:val="525866"/>
          <w:sz w:val="22"/>
        </w:rPr>
        <w:t>Implication: Alternative accommodation demand remains robust; BKNG’s alternative accommodation segment (36% of room nights) should benefit.</w:t>
      </w:r>
    </w:p>
    <w:p>
      <w:pPr>
        <w:pStyle w:val="ListBullet"/>
        <w:ind w:left="360" w:hanging="360"/>
      </w:pPr>
      <w:r>
        <w:rPr>
          <w:rFonts w:ascii="Calibri" w:hAnsi="Calibri"/>
          <w:b/>
          <w:color w:val="525866"/>
          <w:sz w:val="22"/>
        </w:rPr>
        <w:t xml:space="preserve">June 1, 2026 — Marriott at Morgan Stanley Travel &amp; Leisure Conference: </w:t>
      </w:r>
      <w:r>
        <w:rPr>
          <w:rFonts w:ascii="Calibri" w:hAnsi="Calibri"/>
          <w:color w:val="525866"/>
          <w:sz w:val="22"/>
        </w:rPr>
        <w:t xml:space="preserve">MAR CFO confirmed April RevPAR +1% globally but U.S./Canada +4%. June/July bookings pacing up nicely in both World Cup and non-World Cup markets. Middle East RevPAR down ~60% in April but May improving. </w:t>
      </w:r>
      <w:r>
        <w:rPr>
          <w:rFonts w:ascii="Calibri" w:hAnsi="Calibri"/>
          <w:i/>
          <w:color w:val="525866"/>
          <w:sz w:val="22"/>
        </w:rPr>
        <w:t>Implication: Recovery trajectory was already visible in early June, supporting the view that Q2 will come in at or above the guidance midpoint.</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All three transactions since Q1 earnings were </w:t>
      </w:r>
      <w:r>
        <w:rPr>
          <w:rFonts w:ascii="Calibri" w:hAnsi="Calibri"/>
          <w:b/>
          <w:color w:val="525866"/>
          <w:sz w:val="22"/>
        </w:rPr>
        <w:t>pre-planned 10b5-1 sales</w:t>
      </w:r>
      <w:r>
        <w:rPr>
          <w:rFonts w:ascii="Calibri" w:hAnsi="Calibri"/>
          <w:color w:val="525866"/>
          <w:sz w:val="22"/>
        </w:rPr>
        <w:t xml:space="preserve"> — no discretionary selling or buying. The absence of open-market purchases is notable given the stock’s post-earnings selloff, but the 10b5-1 nature of all sales removes any negative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Disclosed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Peter J. Millones</w:t>
            </w:r>
          </w:p>
        </w:tc>
        <w:tc>
          <w:tcPr>
            <w:tcW w:type="dxa" w:w="1234"/>
          </w:tcPr>
          <w:p>
            <w:r>
              <w:rPr>
                <w:rFonts w:ascii="Calibri" w:hAnsi="Calibri"/>
                <w:sz w:val="22"/>
              </w:rPr>
              <w:t>EVP, General Counsel</w:t>
            </w:r>
          </w:p>
        </w:tc>
        <w:tc>
          <w:tcPr>
            <w:tcW w:type="dxa" w:w="1234"/>
          </w:tcPr>
          <w:p>
            <w:r>
              <w:rPr>
                <w:rFonts w:ascii="Calibri" w:hAnsi="Calibri"/>
                <w:sz w:val="22"/>
              </w:rPr>
              <w:t>10b5-1 Planned Sale</w:t>
            </w:r>
          </w:p>
        </w:tc>
        <w:tc>
          <w:tcPr>
            <w:tcW w:type="dxa" w:w="1234"/>
          </w:tcPr>
          <w:p>
            <w:r>
              <w:rPr>
                <w:rFonts w:ascii="Calibri" w:hAnsi="Calibri"/>
                <w:sz w:val="22"/>
              </w:rPr>
              <w:t>62,500</w:t>
            </w:r>
          </w:p>
        </w:tc>
        <w:tc>
          <w:tcPr>
            <w:tcW w:type="dxa" w:w="1234"/>
          </w:tcPr>
          <w:p>
            <w:r>
              <w:rPr>
                <w:rFonts w:ascii="Calibri" w:hAnsi="Calibri"/>
                <w:sz w:val="22"/>
              </w:rPr>
              <w:t>May 26, 2026</w:t>
            </w:r>
          </w:p>
        </w:tc>
        <w:tc>
          <w:tcPr>
            <w:tcW w:type="dxa" w:w="1234"/>
          </w:tcPr>
          <w:p>
            <w:r>
              <w:rPr>
                <w:rFonts w:ascii="Calibri" w:hAnsi="Calibri"/>
                <w:sz w:val="22"/>
              </w:rPr>
              <w:t>May 27, 2026</w:t>
            </w:r>
          </w:p>
        </w:tc>
        <w:tc>
          <w:tcPr>
            <w:tcW w:type="dxa" w:w="1234"/>
          </w:tcPr>
          <w:p>
            <w:r>
              <w:rPr>
                <w:rFonts w:ascii="Calibri" w:hAnsi="Calibri"/>
                <w:sz w:val="22"/>
              </w:rPr>
              <w:t>Pre-planned; routine executive liquidity</w:t>
            </w:r>
          </w:p>
        </w:tc>
      </w:tr>
      <w:tr>
        <w:tc>
          <w:tcPr>
            <w:tcW w:type="dxa" w:w="1234"/>
          </w:tcPr>
          <w:p>
            <w:r>
              <w:rPr>
                <w:rFonts w:ascii="Calibri" w:hAnsi="Calibri"/>
                <w:sz w:val="22"/>
              </w:rPr>
              <w:t>Vanessa Ames Wittman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1,125</w:t>
            </w:r>
          </w:p>
        </w:tc>
        <w:tc>
          <w:tcPr>
            <w:tcW w:type="dxa" w:w="1234"/>
          </w:tcPr>
          <w:p>
            <w:r>
              <w:rPr>
                <w:rFonts w:ascii="Calibri" w:hAnsi="Calibri"/>
                <w:sz w:val="22"/>
              </w:rPr>
              <w:t>July 28, 2026</w:t>
            </w:r>
          </w:p>
        </w:tc>
        <w:tc>
          <w:tcPr>
            <w:tcW w:type="dxa" w:w="1234"/>
          </w:tcPr>
          <w:p>
            <w:r>
              <w:rPr>
                <w:rFonts w:ascii="Calibri" w:hAnsi="Calibri"/>
                <w:sz w:val="22"/>
              </w:rPr>
              <w:t>July 29, 2026</w:t>
            </w:r>
          </w:p>
        </w:tc>
        <w:tc>
          <w:tcPr>
            <w:tcW w:type="dxa" w:w="1234"/>
          </w:tcPr>
          <w:p>
            <w:r>
              <w:rPr>
                <w:rFonts w:ascii="Calibri" w:hAnsi="Calibri"/>
                <w:sz w:val="22"/>
              </w:rPr>
              <w:t>Pre-planned; small size, no signal</w:t>
            </w:r>
          </w:p>
        </w:tc>
      </w:tr>
      <w:tr>
        <w:tc>
          <w:tcPr>
            <w:tcW w:type="dxa" w:w="1234"/>
          </w:tcPr>
          <w:p>
            <w:r>
              <w:rPr>
                <w:rFonts w:ascii="Calibri" w:hAnsi="Calibri"/>
                <w:sz w:val="22"/>
              </w:rPr>
              <w:t>Robert J. Mylod Jr.</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5,000 (indirect)</w:t>
            </w:r>
          </w:p>
        </w:tc>
        <w:tc>
          <w:tcPr>
            <w:tcW w:type="dxa" w:w="1234"/>
          </w:tcPr>
          <w:p>
            <w:r>
              <w:rPr>
                <w:rFonts w:ascii="Calibri" w:hAnsi="Calibri"/>
                <w:sz w:val="22"/>
              </w:rPr>
              <w:t>July 29, 2026</w:t>
            </w:r>
          </w:p>
        </w:tc>
        <w:tc>
          <w:tcPr>
            <w:tcW w:type="dxa" w:w="1234"/>
          </w:tcPr>
          <w:p>
            <w:r>
              <w:rPr>
                <w:rFonts w:ascii="Calibri" w:hAnsi="Calibri"/>
                <w:sz w:val="22"/>
              </w:rPr>
              <w:t>July 30, 2026</w:t>
            </w:r>
          </w:p>
        </w:tc>
        <w:tc>
          <w:tcPr>
            <w:tcW w:type="dxa" w:w="1234"/>
          </w:tcPr>
          <w:p>
            <w:r>
              <w:rPr>
                <w:rFonts w:ascii="Calibri" w:hAnsi="Calibri"/>
                <w:sz w:val="22"/>
              </w:rPr>
              <w:t>Pre-planned; indirect via Annox Capital LLC</w:t>
            </w:r>
          </w:p>
        </w:tc>
      </w:tr>
    </w:tbl>
    <w:p>
      <w:r>
        <w:rPr>
          <w:rFonts w:ascii="Calibri" w:hAnsi="Calibri"/>
          <w:b/>
          <w:color w:val="525866"/>
          <w:sz w:val="22"/>
        </w:rPr>
        <w:t xml:space="preserve">Note: </w:t>
      </w:r>
      <w:r>
        <w:rPr>
          <w:rFonts w:ascii="Calibri" w:hAnsi="Calibri"/>
          <w:color w:val="525866"/>
          <w:sz w:val="22"/>
        </w:rPr>
        <w:t>All transactions are 10b5-1 pre-planned sales. No open-market purchases or discretionary sales were filed since Q1 earnings. The lack of insider buying during the post-earnings selloff (stock dropped to ~$154) is worth noting but is not unusual given the 10b5-1 plan structure. Source: SEC Form 4 filings.</w:t>
      </w:r>
    </w:p>
    <w:p>
      <w:r>
        <w:br w:type="page"/>
      </w:r>
    </w:p>
    <w:p>
      <w:pPr>
        <w:pStyle w:val="Heading2"/>
      </w:pPr>
      <w:r>
        <w:rPr>
          <w:rFonts w:ascii="Calibri" w:hAnsi="Calibri"/>
          <w:b/>
          <w:color w:val="3B4259"/>
          <w:sz w:val="28"/>
        </w:rPr>
        <w:t>8. Peer Commentaries — Read-Throughs for Q2 2026</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w:t>
      </w:r>
      <w:r>
        <w:rPr>
          <w:rFonts w:ascii="Calibri" w:hAnsi="Calibri"/>
          <w:color w:val="525866"/>
          <w:sz w:val="22"/>
        </w:rPr>
        <w:t xml:space="preserve"> for BKNG’s Q2 print — hotel RevPAR is recovering, airline demand is robust, and Middle East headwinds are moderating faster than feared. The key upside risk is whether BKNG’s European/Asian corridor exposure saw a faster-than-expected recovery in May–June.</w:t>
      </w:r>
    </w:p>
    <w:p>
      <w:r>
        <w:rPr>
          <w:rFonts w:ascii="Calibri" w:hAnsi="Calibri"/>
          <w:b/>
          <w:color w:val="525866"/>
          <w:sz w:val="22"/>
        </w:rPr>
        <w:t xml:space="preserve">Note: </w:t>
      </w:r>
      <w:r>
        <w:rPr>
          <w:rFonts w:ascii="Calibri" w:hAnsi="Calibri"/>
          <w:i/>
          <w:color w:val="525866"/>
          <w:sz w:val="22"/>
        </w:rPr>
        <w:t>Only commentary about Q2 2026 performance or forward-looking statements made after BKNG’s Q1 earnings (April 28, 2026) is included. Prior-quarter earnings results commentary is excluded.</w:t>
      </w:r>
    </w:p>
    <w:p>
      <w:pPr>
        <w:pStyle w:val="Heading3"/>
      </w:pPr>
      <w:r>
        <w:rPr>
          <w:rFonts w:ascii="Calibri" w:hAnsi="Calibri"/>
          <w:b/>
          <w:color w:val="3B4259"/>
          <w:sz w:val="24"/>
        </w:rPr>
        <w:t>Hotel Peers</w:t>
      </w:r>
    </w:p>
    <w:p>
      <w:pPr>
        <w:pStyle w:val="Heading4"/>
      </w:pPr>
      <w:r>
        <w:rPr>
          <w:rFonts w:ascii="Calibri" w:hAnsi="Calibri"/>
          <w:b/>
          <w:color w:val="3B4259"/>
          <w:sz w:val="22"/>
        </w:rPr>
        <w:t>Marriott International (MAR) — Q2 2026 Earnings (August 3, 2026)</w:t>
      </w:r>
    </w:p>
    <w:p>
      <w:pPr>
        <w:pStyle w:val="ListBullet"/>
        <w:ind w:left="360" w:hanging="360"/>
      </w:pPr>
      <w:r>
        <w:rPr>
          <w:rFonts w:ascii="Calibri" w:hAnsi="Calibri"/>
          <w:color w:val="525866"/>
          <w:sz w:val="22"/>
        </w:rPr>
        <w:t xml:space="preserve">Global RevPAR +3.4% in Q2; U.S./Canada +5% — the </w:t>
      </w:r>
      <w:r>
        <w:rPr>
          <w:rFonts w:ascii="Calibri" w:hAnsi="Calibri"/>
          <w:b/>
          <w:color w:val="525866"/>
          <w:sz w:val="22"/>
        </w:rPr>
        <w:t>highest quarterly increase in 13 quarters</w:t>
      </w:r>
      <w:r>
        <w:rPr>
          <w:rFonts w:ascii="Calibri" w:hAnsi="Calibri"/>
          <w:color w:val="525866"/>
          <w:sz w:val="22"/>
        </w:rPr>
        <w:t>. Excluding World Cup impact, U.S./Canada RevPAR +4%.</w:t>
      </w:r>
    </w:p>
    <w:p>
      <w:pPr>
        <w:pStyle w:val="ListBullet"/>
        <w:ind w:left="360" w:hanging="360"/>
      </w:pPr>
      <w:r>
        <w:rPr>
          <w:rFonts w:ascii="Calibri" w:hAnsi="Calibri"/>
          <w:color w:val="525866"/>
          <w:sz w:val="22"/>
        </w:rPr>
        <w:t>Leisure revenues +5% globally and +7% in U.S./Canada. Group RevPAR +3% globally. Business transient +2% globally.</w:t>
      </w:r>
    </w:p>
    <w:p>
      <w:pPr>
        <w:pStyle w:val="ListBullet"/>
        <w:ind w:left="360" w:hanging="360"/>
      </w:pPr>
      <w:r>
        <w:rPr>
          <w:rFonts w:ascii="Calibri" w:hAnsi="Calibri"/>
          <w:color w:val="525866"/>
          <w:sz w:val="22"/>
        </w:rPr>
        <w:t xml:space="preserve">Middle East RevPAR -43% in Q2, </w:t>
      </w:r>
      <w:r>
        <w:rPr>
          <w:rFonts w:ascii="Calibri" w:hAnsi="Calibri"/>
          <w:b/>
          <w:color w:val="525866"/>
          <w:sz w:val="22"/>
        </w:rPr>
        <w:t>slightly better than prior expectations</w:t>
      </w:r>
      <w:r>
        <w:rPr>
          <w:rFonts w:ascii="Calibri" w:hAnsi="Calibri"/>
          <w:color w:val="525866"/>
          <w:sz w:val="22"/>
        </w:rPr>
        <w:t xml:space="preserve"> on better-than-expected domestic leisure demand.</w:t>
      </w:r>
    </w:p>
    <w:p>
      <w:pPr>
        <w:pStyle w:val="ListBullet"/>
        <w:ind w:left="360" w:hanging="360"/>
      </w:pPr>
      <w:r>
        <w:rPr>
          <w:rFonts w:ascii="Calibri" w:hAnsi="Calibri"/>
          <w:color w:val="525866"/>
          <w:sz w:val="22"/>
        </w:rPr>
        <w:t>Strong demand trends extended into July across all chain scales and customer segments in U.S./Canada.</w:t>
      </w:r>
    </w:p>
    <w:p>
      <w:pPr>
        <w:pStyle w:val="ListBullet"/>
        <w:ind w:left="360" w:hanging="360"/>
      </w:pPr>
      <w:r>
        <w:rPr>
          <w:rFonts w:ascii="Calibri" w:hAnsi="Calibri"/>
          <w:color w:val="525866"/>
          <w:sz w:val="22"/>
        </w:rPr>
        <w:t>Raised full-year 2026 global RevPAR guidance to 3–3.5% (from 2–3%), reflecting Q2 outperformance and stronger H2 outlook.</w:t>
      </w:r>
    </w:p>
    <w:p>
      <w:pPr>
        <w:pStyle w:val="ListBullet"/>
        <w:ind w:left="360" w:hanging="360"/>
      </w:pPr>
      <w:r>
        <w:rPr>
          <w:rFonts w:ascii="Calibri" w:hAnsi="Calibri"/>
          <w:color w:val="525866"/>
          <w:sz w:val="22"/>
        </w:rPr>
        <w:t>APAC RevPAR +5%, surpassing expectations in May/June on improved flight capacity and strong intra-regional demand.</w:t>
      </w:r>
    </w:p>
    <w:p>
      <w:pPr>
        <w:pStyle w:val="ListBullet"/>
        <w:ind w:left="360" w:hanging="360"/>
      </w:pPr>
      <w:r>
        <w:rPr>
          <w:rFonts w:ascii="Calibri" w:hAnsi="Calibri"/>
          <w:b/>
          <w:color w:val="525866"/>
          <w:sz w:val="22"/>
        </w:rPr>
        <w:t xml:space="preserve">Read-through for BKNG: </w:t>
      </w:r>
      <w:r>
        <w:rPr>
          <w:rFonts w:ascii="Calibri" w:hAnsi="Calibri"/>
          <w:i/>
          <w:color w:val="525866"/>
          <w:sz w:val="22"/>
        </w:rPr>
        <w:t>Broad-based hotel demand recovery is real and accelerating. Middle East headwind is moderating. Strong July trends support BKNG’s H2 recovery assumption. APAC recovery is a positive for BKNG’s Asia business.</w:t>
      </w:r>
    </w:p>
    <w:p>
      <w:pPr>
        <w:pStyle w:val="Heading4"/>
      </w:pPr>
      <w:r>
        <w:rPr>
          <w:rFonts w:ascii="Calibri" w:hAnsi="Calibri"/>
          <w:b/>
          <w:color w:val="3B4259"/>
          <w:sz w:val="22"/>
        </w:rPr>
        <w:t>Hilton Worldwide (HLT) — Q2 2026 Earnings (July 28, 2026)</w:t>
      </w:r>
    </w:p>
    <w:p>
      <w:pPr>
        <w:pStyle w:val="ListBullet"/>
        <w:ind w:left="360" w:hanging="360"/>
      </w:pPr>
      <w:r>
        <w:rPr>
          <w:rFonts w:ascii="Calibri" w:hAnsi="Calibri"/>
          <w:color w:val="525866"/>
          <w:sz w:val="22"/>
        </w:rPr>
        <w:t>System-wide RevPAR +3.9% YoY in Q2, beating expectations. U.S. RevPAR +5.4%, driven by midweek demand from SMBs (~7%+) and corporate (~5%).</w:t>
      </w:r>
    </w:p>
    <w:p>
      <w:pPr>
        <w:pStyle w:val="ListBullet"/>
        <w:ind w:left="360" w:hanging="360"/>
      </w:pPr>
      <w:r>
        <w:rPr>
          <w:rFonts w:ascii="Calibri" w:hAnsi="Calibri"/>
          <w:color w:val="525866"/>
          <w:sz w:val="22"/>
        </w:rPr>
        <w:t>Middle East RevPAR -~30% YoY, better than prior expectations. HLT estimates Middle East conflict is costing ~0.5pts of overall growth this year.</w:t>
      </w:r>
    </w:p>
    <w:p>
      <w:pPr>
        <w:pStyle w:val="ListBullet"/>
        <w:ind w:left="360" w:hanging="360"/>
      </w:pPr>
      <w:r>
        <w:rPr>
          <w:rFonts w:ascii="Calibri" w:hAnsi="Calibri"/>
          <w:color w:val="525866"/>
          <w:sz w:val="22"/>
        </w:rPr>
        <w:t>Business transient recovery strengthening into Q3. SMB segment showing strong momentum.</w:t>
      </w:r>
    </w:p>
    <w:p>
      <w:pPr>
        <w:pStyle w:val="ListBullet"/>
        <w:ind w:left="360" w:hanging="360"/>
      </w:pPr>
      <w:r>
        <w:rPr>
          <w:rFonts w:ascii="Calibri" w:hAnsi="Calibri"/>
          <w:color w:val="525866"/>
          <w:sz w:val="22"/>
        </w:rPr>
        <w:t>Raised full-year RevPAR guidance to 3–3.5%. U.S. RevPAR expected mid-single digits for full year.</w:t>
      </w:r>
    </w:p>
    <w:p>
      <w:pPr>
        <w:pStyle w:val="ListBullet"/>
        <w:ind w:left="360" w:hanging="360"/>
      </w:pPr>
      <w:r>
        <w:rPr>
          <w:rFonts w:ascii="Calibri" w:hAnsi="Calibri"/>
          <w:color w:val="525866"/>
          <w:sz w:val="22"/>
        </w:rPr>
        <w:t>Mid-scale and upper mid-scale segments turning from -2% to +4–6% — a ‘C-shape economy’ recovery driven by AI infrastructure investment and public spending.</w:t>
      </w:r>
    </w:p>
    <w:p>
      <w:pPr>
        <w:pStyle w:val="ListBullet"/>
        <w:ind w:left="360" w:hanging="360"/>
      </w:pPr>
      <w:r>
        <w:rPr>
          <w:rFonts w:ascii="Calibri" w:hAnsi="Calibri"/>
          <w:b/>
          <w:color w:val="525866"/>
          <w:sz w:val="22"/>
        </w:rPr>
        <w:t xml:space="preserve">Read-through for BKNG: </w:t>
      </w:r>
      <w:r>
        <w:rPr>
          <w:rFonts w:ascii="Calibri" w:hAnsi="Calibri"/>
          <w:i/>
          <w:color w:val="525866"/>
          <w:sz w:val="22"/>
        </w:rPr>
        <w:t>U.S. hotel demand is accelerating, consistent with BKNG’s Q1 commentary on U.S. room night growth (low teens). Middle East headwind is contained. The broadening of demand across chain scales is positive for BKNG’s alternative accommodations and lower-end inventory.</w:t>
      </w:r>
    </w:p>
    <w:p>
      <w:pPr>
        <w:pStyle w:val="Heading4"/>
      </w:pPr>
      <w:r>
        <w:rPr>
          <w:rFonts w:ascii="Calibri" w:hAnsi="Calibri"/>
          <w:b/>
          <w:color w:val="3B4259"/>
          <w:sz w:val="22"/>
        </w:rPr>
        <w:t>Marriott at Morgan Stanley Travel &amp; Leisure Conference (June 1, 2026)</w:t>
      </w:r>
    </w:p>
    <w:p>
      <w:pPr>
        <w:pStyle w:val="ListBullet"/>
        <w:ind w:left="360" w:hanging="360"/>
      </w:pPr>
      <w:r>
        <w:rPr>
          <w:rFonts w:ascii="Calibri" w:hAnsi="Calibri"/>
          <w:color w:val="525866"/>
          <w:sz w:val="22"/>
        </w:rPr>
        <w:t>April RevPAR +1% globally, but U.S./Canada +4%. Middle East RevPAR -60% in April, improving in May.</w:t>
      </w:r>
    </w:p>
    <w:p>
      <w:pPr>
        <w:pStyle w:val="ListBullet"/>
        <w:ind w:left="360" w:hanging="360"/>
      </w:pPr>
      <w:r>
        <w:rPr>
          <w:rFonts w:ascii="Calibri" w:hAnsi="Calibri"/>
          <w:color w:val="525866"/>
          <w:sz w:val="22"/>
        </w:rPr>
        <w:t>June/July bookings in U.S./Canada pacing up nicely in both World Cup and non-World Cup markets.</w:t>
      </w:r>
    </w:p>
    <w:p>
      <w:pPr>
        <w:pStyle w:val="ListBullet"/>
        <w:ind w:left="360" w:hanging="360"/>
      </w:pPr>
      <w:r>
        <w:rPr>
          <w:rFonts w:ascii="Calibri" w:hAnsi="Calibri"/>
          <w:color w:val="525866"/>
          <w:sz w:val="22"/>
        </w:rPr>
        <w:t>Europe summer bookings pacing up slightly; rate up low single digits YoY. U.S. traveler demand to Europe slightly down YoY but offset by Canada and China growth.</w:t>
      </w:r>
    </w:p>
    <w:p>
      <w:pPr>
        <w:pStyle w:val="ListBullet"/>
        <w:ind w:left="360" w:hanging="360"/>
      </w:pPr>
      <w:r>
        <w:rPr>
          <w:rFonts w:ascii="Calibri" w:hAnsi="Calibri"/>
          <w:b/>
          <w:color w:val="525866"/>
          <w:sz w:val="22"/>
        </w:rPr>
        <w:t xml:space="preserve">Read-through for BKNG: </w:t>
      </w:r>
      <w:r>
        <w:rPr>
          <w:rFonts w:ascii="Calibri" w:hAnsi="Calibri"/>
          <w:i/>
          <w:color w:val="525866"/>
          <w:sz w:val="22"/>
        </w:rPr>
        <w:t>The recovery trajectory was already visible in early June, supporting the view that Q2 will come in at or above the guidance midpoint. European demand is holding up despite some U.S. traveler softness.</w:t>
      </w:r>
    </w:p>
    <w:p>
      <w:pPr>
        <w:pStyle w:val="Heading3"/>
      </w:pPr>
      <w:r>
        <w:rPr>
          <w:rFonts w:ascii="Calibri" w:hAnsi="Calibri"/>
          <w:b/>
          <w:color w:val="3B4259"/>
          <w:sz w:val="24"/>
        </w:rPr>
        <w:t>OTA Peers</w:t>
      </w:r>
    </w:p>
    <w:p>
      <w:pPr>
        <w:pStyle w:val="Heading4"/>
      </w:pPr>
      <w:r>
        <w:rPr>
          <w:rFonts w:ascii="Calibri" w:hAnsi="Calibri"/>
          <w:b/>
          <w:color w:val="3B4259"/>
          <w:sz w:val="22"/>
        </w:rPr>
        <w:t>Expedia Group (EXPE) — Q1 2026 Earnings (May 7, 2026) — Q2 Forward Guidance</w:t>
      </w:r>
    </w:p>
    <w:p>
      <w:r>
        <w:rPr>
          <w:rFonts w:ascii="Calibri" w:hAnsi="Calibri"/>
          <w:b/>
          <w:color w:val="525866"/>
          <w:sz w:val="22"/>
        </w:rPr>
        <w:t xml:space="preserve">Note: </w:t>
      </w:r>
      <w:r>
        <w:rPr>
          <w:rFonts w:ascii="Calibri" w:hAnsi="Calibri"/>
          <w:i/>
          <w:color w:val="525866"/>
          <w:sz w:val="22"/>
        </w:rPr>
        <w:t>Q1 earnings commentary included here only for the Q2 2026 forward-looking guidance and April trend data provided on the call.</w:t>
      </w:r>
    </w:p>
    <w:p>
      <w:pPr>
        <w:pStyle w:val="ListBullet"/>
        <w:ind w:left="360" w:hanging="360"/>
      </w:pPr>
      <w:r>
        <w:rPr>
          <w:rFonts w:ascii="Calibri" w:hAnsi="Calibri"/>
          <w:color w:val="525866"/>
          <w:sz w:val="22"/>
        </w:rPr>
        <w:t xml:space="preserve">March saw elevated cancellations from Middle East conflict; </w:t>
      </w:r>
      <w:r>
        <w:rPr>
          <w:rFonts w:ascii="Calibri" w:hAnsi="Calibri"/>
          <w:b/>
          <w:color w:val="525866"/>
          <w:sz w:val="22"/>
        </w:rPr>
        <w:t>cancellations normalized in April and bookings reaccelerated throughout April</w:t>
      </w:r>
      <w:r>
        <w:rPr>
          <w:rFonts w:ascii="Calibri" w:hAnsi="Calibri"/>
          <w:color w:val="525866"/>
          <w:sz w:val="22"/>
        </w:rPr>
        <w:t>.</w:t>
      </w:r>
    </w:p>
    <w:p>
      <w:pPr>
        <w:pStyle w:val="ListBullet"/>
        <w:ind w:left="360" w:hanging="360"/>
      </w:pPr>
      <w:r>
        <w:rPr>
          <w:rFonts w:ascii="Calibri" w:hAnsi="Calibri"/>
          <w:color w:val="525866"/>
          <w:sz w:val="22"/>
        </w:rPr>
        <w:t xml:space="preserve">Guided Q2 gross bookings growth </w:t>
      </w:r>
      <w:r>
        <w:rPr>
          <w:rFonts w:ascii="Calibri" w:hAnsi="Calibri"/>
          <w:b/>
          <w:color w:val="525866"/>
          <w:sz w:val="22"/>
        </w:rPr>
        <w:t>7–9%</w:t>
      </w:r>
      <w:r>
        <w:rPr>
          <w:rFonts w:ascii="Calibri" w:hAnsi="Calibri"/>
          <w:color w:val="525866"/>
          <w:sz w:val="22"/>
        </w:rPr>
        <w:t>, revenue growth 9–11%, EBITDA margins up 50–100bps.</w:t>
      </w:r>
    </w:p>
    <w:p>
      <w:pPr>
        <w:pStyle w:val="ListBullet"/>
        <w:ind w:left="360" w:hanging="360"/>
      </w:pPr>
      <w:r>
        <w:rPr>
          <w:rFonts w:ascii="Calibri" w:hAnsi="Calibri"/>
          <w:color w:val="525866"/>
          <w:sz w:val="22"/>
        </w:rPr>
        <w:t>U.S. domestic bookings grew mid-teens in Q1; consumer sentiment ‘remarkably resilient.’</w:t>
      </w:r>
    </w:p>
    <w:p>
      <w:pPr>
        <w:pStyle w:val="ListBullet"/>
        <w:ind w:left="360" w:hanging="360"/>
      </w:pPr>
      <w:r>
        <w:rPr>
          <w:rFonts w:ascii="Calibri" w:hAnsi="Calibri"/>
          <w:b/>
          <w:color w:val="525866"/>
          <w:sz w:val="22"/>
        </w:rPr>
        <w:t xml:space="preserve">Read-through for BKNG: </w:t>
      </w:r>
      <w:r>
        <w:rPr>
          <w:rFonts w:ascii="Calibri" w:hAnsi="Calibri"/>
          <w:i/>
          <w:color w:val="525866"/>
          <w:sz w:val="22"/>
        </w:rPr>
        <w:t>EXPE’s Q2 guide of 7–9% gross bookings growth (vs. BKNG’s 4–6%) suggests BKNG’s guide was more conservative. EXPE’s April reacceleration is a positive leading indicator. EXPE’s stock surged ~20% on its own Q2 earnings beat in late July, confirming the OTA demand environment is strong.</w:t>
      </w:r>
    </w:p>
    <w:p>
      <w:pPr>
        <w:pStyle w:val="Heading4"/>
      </w:pPr>
      <w:r>
        <w:rPr>
          <w:rFonts w:ascii="Calibri" w:hAnsi="Calibri"/>
          <w:b/>
          <w:color w:val="3B4259"/>
          <w:sz w:val="22"/>
        </w:rPr>
        <w:t>Airbnb (ABNB) — Q1 2026 Earnings (May 7, 2026) — Q2 Forward Guidance</w:t>
      </w:r>
    </w:p>
    <w:p>
      <w:r>
        <w:rPr>
          <w:rFonts w:ascii="Calibri" w:hAnsi="Calibri"/>
          <w:b/>
          <w:color w:val="525866"/>
          <w:sz w:val="22"/>
        </w:rPr>
        <w:t xml:space="preserve">Note: </w:t>
      </w:r>
      <w:r>
        <w:rPr>
          <w:rFonts w:ascii="Calibri" w:hAnsi="Calibri"/>
          <w:i/>
          <w:color w:val="525866"/>
          <w:sz w:val="22"/>
        </w:rPr>
        <w:t>Q1 earnings commentary included here only for the Q2 2026 forward-looking guidance provided on the call.</w:t>
      </w:r>
    </w:p>
    <w:p>
      <w:pPr>
        <w:pStyle w:val="ListBullet"/>
        <w:ind w:left="360" w:hanging="360"/>
      </w:pPr>
      <w:r>
        <w:rPr>
          <w:rFonts w:ascii="Calibri" w:hAnsi="Calibri"/>
          <w:color w:val="525866"/>
          <w:sz w:val="22"/>
        </w:rPr>
        <w:t>Guided Q2 revenue $3.54–3.60B (+14–16% YoY), GBV low double digits. Assumes ~100bps ME headwind in Q2.</w:t>
      </w:r>
    </w:p>
    <w:p>
      <w:pPr>
        <w:pStyle w:val="ListBullet"/>
        <w:ind w:left="360" w:hanging="360"/>
      </w:pPr>
      <w:r>
        <w:rPr>
          <w:rFonts w:ascii="Calibri" w:hAnsi="Calibri"/>
          <w:color w:val="525866"/>
          <w:sz w:val="22"/>
        </w:rPr>
        <w:t>Raised full-year revenue guidance to low-to-mid teens growth; adj. EBITDA margin at least 35%.</w:t>
      </w:r>
    </w:p>
    <w:p>
      <w:pPr>
        <w:pStyle w:val="ListBullet"/>
        <w:ind w:left="360" w:hanging="360"/>
      </w:pPr>
      <w:r>
        <w:rPr>
          <w:rFonts w:ascii="Calibri" w:hAnsi="Calibri"/>
          <w:color w:val="525866"/>
          <w:sz w:val="22"/>
        </w:rPr>
        <w:t>ADR +9% YoY (+4% ex-FX) in Q1; Reserve Now Pay Later driving longer booking lead times and higher ADRs.</w:t>
      </w:r>
    </w:p>
    <w:p>
      <w:pPr>
        <w:pStyle w:val="ListBullet"/>
        <w:ind w:left="360" w:hanging="360"/>
      </w:pPr>
      <w:r>
        <w:rPr>
          <w:rFonts w:ascii="Calibri" w:hAnsi="Calibri"/>
          <w:b/>
          <w:color w:val="525866"/>
          <w:sz w:val="22"/>
        </w:rPr>
        <w:t xml:space="preserve">Read-through for BKNG: </w:t>
      </w:r>
      <w:r>
        <w:rPr>
          <w:rFonts w:ascii="Calibri" w:hAnsi="Calibri"/>
          <w:i/>
          <w:color w:val="525866"/>
          <w:sz w:val="22"/>
        </w:rPr>
        <w:t>Alternative accommodation demand is robust. ADR growth is positive for BKNG’s ADR trajectory. ABNB’s Q2 guide implies continued strong demand despite ME headwinds.</w:t>
      </w:r>
    </w:p>
    <w:p>
      <w:pPr>
        <w:pStyle w:val="Heading3"/>
      </w:pPr>
      <w:r>
        <w:rPr>
          <w:rFonts w:ascii="Calibri" w:hAnsi="Calibri"/>
          <w:b/>
          <w:color w:val="3B4259"/>
          <w:sz w:val="24"/>
        </w:rPr>
        <w:t>Airlines</w:t>
      </w:r>
    </w:p>
    <w:p>
      <w:pPr>
        <w:pStyle w:val="Heading4"/>
      </w:pPr>
      <w:r>
        <w:rPr>
          <w:rFonts w:ascii="Calibri" w:hAnsi="Calibri"/>
          <w:b/>
          <w:color w:val="3B4259"/>
          <w:sz w:val="22"/>
        </w:rPr>
        <w:t>United Airlines (UAL) — Q2 2026 Earnings (July 16, 2026)</w:t>
      </w:r>
    </w:p>
    <w:p>
      <w:pPr>
        <w:pStyle w:val="ListBullet"/>
        <w:ind w:left="360" w:hanging="360"/>
      </w:pPr>
      <w:r>
        <w:rPr>
          <w:rFonts w:ascii="Calibri" w:hAnsi="Calibri"/>
          <w:color w:val="525866"/>
          <w:sz w:val="22"/>
        </w:rPr>
        <w:t>Total operating revenue +16% to $17.7B in Q2. PRASM +12.1% YoY with load factors up slightly.</w:t>
      </w:r>
    </w:p>
    <w:p>
      <w:pPr>
        <w:pStyle w:val="ListBullet"/>
        <w:ind w:left="360" w:hanging="360"/>
      </w:pPr>
      <w:r>
        <w:rPr>
          <w:rFonts w:ascii="Calibri" w:hAnsi="Calibri"/>
          <w:color w:val="525866"/>
          <w:sz w:val="22"/>
        </w:rPr>
        <w:t>Domestic PRASM +12.2%; International PRASM +12% (Pacific +14%, Atlantic +12.1%, Latin +7%).</w:t>
      </w:r>
    </w:p>
    <w:p>
      <w:pPr>
        <w:pStyle w:val="ListBullet"/>
        <w:ind w:left="360" w:hanging="360"/>
      </w:pPr>
      <w:r>
        <w:rPr>
          <w:rFonts w:ascii="Calibri" w:hAnsi="Calibri"/>
          <w:color w:val="525866"/>
          <w:sz w:val="22"/>
        </w:rPr>
        <w:t xml:space="preserve">Close-in business travel exceptionally strong: contracted business revenues </w:t>
      </w:r>
      <w:r>
        <w:rPr>
          <w:rFonts w:ascii="Calibri" w:hAnsi="Calibri"/>
          <w:b/>
          <w:color w:val="525866"/>
          <w:sz w:val="22"/>
        </w:rPr>
        <w:t>+27% YoY, bookings +30%</w:t>
      </w:r>
      <w:r>
        <w:rPr>
          <w:rFonts w:ascii="Calibri" w:hAnsi="Calibri"/>
          <w:color w:val="525866"/>
          <w:sz w:val="22"/>
        </w:rPr>
        <w:t>. Led by technology, financial services, and professional services.</w:t>
      </w:r>
    </w:p>
    <w:p>
      <w:pPr>
        <w:pStyle w:val="ListBullet"/>
        <w:ind w:left="360" w:hanging="360"/>
      </w:pPr>
      <w:r>
        <w:rPr>
          <w:rFonts w:ascii="Calibri" w:hAnsi="Calibri"/>
          <w:color w:val="525866"/>
          <w:sz w:val="22"/>
        </w:rPr>
        <w:t>Currently 58% booked through Q3. Sell-in yields up mid-to-high teens YoY in recent weeks.</w:t>
      </w:r>
    </w:p>
    <w:p>
      <w:pPr>
        <w:pStyle w:val="ListBullet"/>
        <w:ind w:left="360" w:hanging="360"/>
      </w:pPr>
      <w:r>
        <w:rPr>
          <w:rFonts w:ascii="Calibri" w:hAnsi="Calibri"/>
          <w:color w:val="525866"/>
          <w:sz w:val="22"/>
        </w:rPr>
        <w:t>Demand remains robust with minimal to no negative impact from higher price points.</w:t>
      </w:r>
    </w:p>
    <w:p>
      <w:pPr>
        <w:pStyle w:val="ListBullet"/>
        <w:ind w:left="360" w:hanging="360"/>
      </w:pPr>
      <w:r>
        <w:rPr>
          <w:rFonts w:ascii="Calibri" w:hAnsi="Calibri"/>
          <w:b/>
          <w:color w:val="525866"/>
          <w:sz w:val="22"/>
        </w:rPr>
        <w:t xml:space="preserve">Read-through for BKNG: </w:t>
      </w:r>
      <w:r>
        <w:rPr>
          <w:rFonts w:ascii="Calibri" w:hAnsi="Calibri"/>
          <w:i/>
          <w:color w:val="525866"/>
          <w:sz w:val="22"/>
        </w:rPr>
        <w:t>Strong air travel demand is a leading indicator for accommodation bookings. International travel recovery (particularly transatlantic and Pacific) is directly relevant to BKNG’s European and Asian booking corridors. Business travel recovery supports higher ADRs.</w:t>
      </w:r>
    </w:p>
    <w:p>
      <w:pPr>
        <w:pStyle w:val="Heading4"/>
      </w:pPr>
      <w:r>
        <w:rPr>
          <w:rFonts w:ascii="Calibri" w:hAnsi="Calibri"/>
          <w:b/>
          <w:color w:val="3B4259"/>
          <w:sz w:val="22"/>
        </w:rPr>
        <w:t>Delta Air Lines (DAL) — Q2 2026 Earnings (July 10, 2026)</w:t>
      </w:r>
    </w:p>
    <w:p>
      <w:pPr>
        <w:pStyle w:val="ListBullet"/>
        <w:ind w:left="360" w:hanging="360"/>
      </w:pPr>
      <w:r>
        <w:rPr>
          <w:rFonts w:ascii="Calibri" w:hAnsi="Calibri"/>
          <w:color w:val="525866"/>
          <w:sz w:val="22"/>
        </w:rPr>
        <w:t>Record revenue +14% YoY to $17.7B. Total unit revenue +12.4%. Pre-tax profit $1.4B.</w:t>
      </w:r>
    </w:p>
    <w:p>
      <w:pPr>
        <w:pStyle w:val="ListBullet"/>
        <w:ind w:left="360" w:hanging="360"/>
      </w:pPr>
      <w:r>
        <w:rPr>
          <w:rFonts w:ascii="Calibri" w:hAnsi="Calibri"/>
          <w:color w:val="525866"/>
          <w:sz w:val="22"/>
        </w:rPr>
        <w:t>Domestic unit revenue +12.4%; International +8%, led by Latin America.</w:t>
      </w:r>
    </w:p>
    <w:p>
      <w:pPr>
        <w:pStyle w:val="ListBullet"/>
        <w:ind w:left="360" w:hanging="360"/>
      </w:pPr>
      <w:r>
        <w:rPr>
          <w:rFonts w:ascii="Calibri" w:hAnsi="Calibri"/>
          <w:color w:val="525866"/>
          <w:sz w:val="22"/>
        </w:rPr>
        <w:t xml:space="preserve">Corporate sales: all sectors posted double-digit growth; core/coastal hubs </w:t>
      </w:r>
      <w:r>
        <w:rPr>
          <w:rFonts w:ascii="Calibri" w:hAnsi="Calibri"/>
          <w:b/>
          <w:color w:val="525866"/>
          <w:sz w:val="22"/>
        </w:rPr>
        <w:t>+20%+ YoY</w:t>
      </w:r>
      <w:r>
        <w:rPr>
          <w:rFonts w:ascii="Calibri" w:hAnsi="Calibri"/>
          <w:color w:val="525866"/>
          <w:sz w:val="22"/>
        </w:rPr>
        <w:t>.</w:t>
      </w:r>
    </w:p>
    <w:p>
      <w:pPr>
        <w:pStyle w:val="ListBullet"/>
        <w:ind w:left="360" w:hanging="360"/>
      </w:pPr>
      <w:r>
        <w:rPr>
          <w:rFonts w:ascii="Calibri" w:hAnsi="Calibri"/>
          <w:color w:val="525866"/>
          <w:sz w:val="22"/>
        </w:rPr>
        <w:t>Premium and loyalty revenue both up ~20%. Bookings for December quarter coming in strong.</w:t>
      </w:r>
    </w:p>
    <w:p>
      <w:pPr>
        <w:pStyle w:val="ListBullet"/>
        <w:ind w:left="360" w:hanging="360"/>
      </w:pPr>
      <w:r>
        <w:rPr>
          <w:rFonts w:ascii="Calibri" w:hAnsi="Calibri"/>
          <w:color w:val="525866"/>
          <w:sz w:val="22"/>
        </w:rPr>
        <w:t>Forward cash sales and bookings higher than close-in sales — positive forward demand signal.</w:t>
      </w:r>
    </w:p>
    <w:p>
      <w:pPr>
        <w:pStyle w:val="ListBullet"/>
        <w:ind w:left="360" w:hanging="360"/>
      </w:pPr>
      <w:r>
        <w:rPr>
          <w:rFonts w:ascii="Calibri" w:hAnsi="Calibri"/>
          <w:b/>
          <w:color w:val="525866"/>
          <w:sz w:val="22"/>
        </w:rPr>
        <w:t xml:space="preserve">Read-through for BKNG: </w:t>
      </w:r>
      <w:r>
        <w:rPr>
          <w:rFonts w:ascii="Calibri" w:hAnsi="Calibri"/>
          <w:i/>
          <w:color w:val="525866"/>
          <w:sz w:val="22"/>
        </w:rPr>
        <w:t>Strong airline demand and forward booking trends support accommodation demand. Premium travel recovery (business + premium leisure) is positive for BKNG’s ADR trajectory. International expansion (Asia, Middle East) aligns with BKNG’s geographic growth strategy.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