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Booking Holdings (BKNG)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Booking Holdings, Inc.</w:t>
            </w:r>
          </w:p>
        </w:tc>
      </w:tr>
      <w:tr>
        <w:tc>
          <w:tcPr>
            <w:tcW w:type="dxa" w:w="4320"/>
          </w:tcPr>
          <w:p>
            <w:r>
              <w:rPr>
                <w:rFonts w:ascii="Calibri" w:hAnsi="Calibri"/>
                <w:b/>
                <w:sz w:val="22"/>
              </w:rPr>
              <w:t>Ticker</w:t>
            </w:r>
          </w:p>
        </w:tc>
        <w:tc>
          <w:tcPr>
            <w:tcW w:type="dxa" w:w="4320"/>
          </w:tcPr>
          <w:p>
            <w:r>
              <w:rPr>
                <w:rFonts w:ascii="Calibri" w:hAnsi="Calibri"/>
                <w:sz w:val="22"/>
              </w:rPr>
              <w:t>BKNG US</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4, 2026 — 4:30 PM ET</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r>
        <w:tc>
          <w:tcPr>
            <w:tcW w:type="dxa" w:w="4320"/>
          </w:tcPr>
          <w:p>
            <w:r>
              <w:rPr>
                <w:rFonts w:ascii="Calibri" w:hAnsi="Calibri"/>
                <w:b/>
                <w:sz w:val="22"/>
              </w:rPr>
              <w:t>Sector ETF (Chart)</w:t>
            </w:r>
          </w:p>
        </w:tc>
        <w:tc>
          <w:tcPr>
            <w:tcW w:type="dxa" w:w="4320"/>
          </w:tcPr>
          <w:p>
            <w:r>
              <w:rPr>
                <w:rFonts w:ascii="Calibri" w:hAnsi="Calibri"/>
                <w:sz w:val="22"/>
              </w:rPr>
              <w:t>PEJ — Invesco Dynamic Leisure &amp; Entertainment ETF</w:t>
            </w:r>
          </w:p>
        </w:tc>
      </w:tr>
    </w:tbl>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 xml:space="preserve">The setup is </w:t>
      </w:r>
      <w:r>
        <w:rPr>
          <w:rFonts w:ascii="Calibri" w:hAnsi="Calibri"/>
          <w:b/>
          <w:color w:val="525866"/>
          <w:sz w:val="22"/>
        </w:rPr>
        <w:t>cautiously constructive but bar-dependent</w:t>
      </w:r>
      <w:r>
        <w:rPr>
          <w:rFonts w:ascii="Calibri" w:hAnsi="Calibri"/>
          <w:color w:val="525866"/>
          <w:sz w:val="22"/>
        </w:rPr>
        <w:t xml:space="preserve"> — consensus has been revised down materially since the Q1 print, leaving room night growth guidance of +2–4% as the key hurdle, and any signal that the </w:t>
      </w:r>
      <w:r>
        <w:rPr>
          <w:rFonts w:ascii="Calibri" w:hAnsi="Calibri"/>
          <w:b/>
          <w:color w:val="525866"/>
          <w:sz w:val="22"/>
        </w:rPr>
        <w:t>Middle East headwind is easing faster than the assumed end-of-June recovery</w:t>
      </w:r>
      <w:r>
        <w:rPr>
          <w:rFonts w:ascii="Calibri" w:hAnsi="Calibri"/>
          <w:color w:val="525866"/>
          <w:sz w:val="22"/>
        </w:rPr>
        <w:t xml:space="preserve"> is the single biggest upside catalyst.</w:t>
      </w:r>
    </w:p>
    <w:p>
      <w:r>
        <w:rPr>
          <w:rFonts w:ascii="Calibri" w:hAnsi="Calibri"/>
          <w:color w:val="525866"/>
          <w:sz w:val="22"/>
        </w:rPr>
        <w:t xml:space="preserve">Heading into Q2 2026 results, the bar for BKNG has been reset sharply lower following the April 28 Q1 print, where management guided Q2 room night growth to only </w:t>
      </w:r>
      <w:r>
        <w:rPr>
          <w:rFonts w:ascii="Calibri" w:hAnsi="Calibri"/>
          <w:b/>
          <w:color w:val="525866"/>
          <w:sz w:val="22"/>
        </w:rPr>
        <w:t>+2–4%</w:t>
      </w:r>
      <w:r>
        <w:rPr>
          <w:rFonts w:ascii="Calibri" w:hAnsi="Calibri"/>
          <w:color w:val="525866"/>
          <w:sz w:val="22"/>
        </w:rPr>
        <w:t xml:space="preserve"> and gross bookings/revenue/EBITDA each to +4–6%, embedding an assumed </w:t>
      </w:r>
      <w:r>
        <w:rPr>
          <w:rFonts w:ascii="Calibri" w:hAnsi="Calibri"/>
          <w:b/>
          <w:color w:val="525866"/>
          <w:sz w:val="22"/>
        </w:rPr>
        <w:t>~3-point headwind from the Middle East conflict</w:t>
      </w:r>
      <w:r>
        <w:rPr>
          <w:rFonts w:ascii="Calibri" w:hAnsi="Calibri"/>
          <w:color w:val="525866"/>
          <w:sz w:val="22"/>
        </w:rPr>
        <w:t xml:space="preserve"> spanning the full quarter — roughly double the Q1 impact. Consensus has tracked guidance closely, with Q2 operating EPS estimates drifting from ~$2.41 post-earnings to ~$2.41 currently (essentially flat), suggesting the street has already priced in the guided deceleration and is not expecting a meaningful beat on the headline. </w:t>
      </w:r>
      <w:r>
        <w:rPr>
          <w:rFonts w:ascii="Calibri" w:hAnsi="Calibri"/>
          <w:b/>
          <w:color w:val="525866"/>
          <w:sz w:val="22"/>
        </w:rPr>
        <w:t>The real swing factor is whether the Middle East impact proved better or worse than the 3-point assumption</w:t>
      </w:r>
      <w:r>
        <w:rPr>
          <w:rFonts w:ascii="Calibri" w:hAnsi="Calibri"/>
          <w:color w:val="525866"/>
          <w:sz w:val="22"/>
        </w:rPr>
        <w:t xml:space="preserve">: Marriott (reported Aug 3) and Hilton (reported Jul 28) both noted Middle East RevPAR declines of ~43% and ~30% respectively but flagged the impact was </w:t>
      </w:r>
      <w:r>
        <w:rPr>
          <w:rFonts w:ascii="Calibri" w:hAnsi="Calibri"/>
          <w:b/>
          <w:color w:val="525866"/>
          <w:sz w:val="22"/>
        </w:rPr>
        <w:t>better than prior expectations</w:t>
      </w:r>
      <w:r>
        <w:rPr>
          <w:rFonts w:ascii="Calibri" w:hAnsi="Calibri"/>
          <w:color w:val="525866"/>
          <w:sz w:val="22"/>
        </w:rPr>
        <w:t xml:space="preserve">, and both raised full-year RevPAR guidance — a constructive read-through for BKNG's Q2 actuals and H2 recovery assumptions. Management tone at the May Barclays and JP Morgan conferences was deliberately non-committal on near-term demand, deferring to the Q1 call guidance, but the CFO's disclosure of an additional </w:t>
      </w:r>
      <w:r>
        <w:rPr>
          <w:rFonts w:ascii="Calibri" w:hAnsi="Calibri"/>
          <w:b/>
          <w:color w:val="525866"/>
          <w:sz w:val="22"/>
        </w:rPr>
        <w:t>$100M in discretionary spend pullback</w:t>
      </w:r>
      <w:r>
        <w:rPr>
          <w:rFonts w:ascii="Calibri" w:hAnsi="Calibri"/>
          <w:color w:val="525866"/>
          <w:sz w:val="22"/>
        </w:rPr>
        <w:t xml:space="preserve"> signals a defensive posture that could provide EBITDA cushion. The stock has recovered ~11% from its post-earnings lows but remains ~10% below pre-Q1 levels, trading at ~16.7x NTM P/E — a compressed multiple that already reflects significant uncertainty; a clean beat with any improvement in H2 recovery language could re-rate the stock meaningfully, while a miss or extension of the conflict assumption would pressure the multiple further.</w:t>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 xml:space="preserve">Consensus reflects the guided deceleration — room night growth of ~3.2% and gross bookings growth of ~5% represent a </w:t>
      </w:r>
      <w:r>
        <w:rPr>
          <w:rFonts w:ascii="Calibri" w:hAnsi="Calibri"/>
          <w:b/>
          <w:color w:val="525866"/>
          <w:sz w:val="22"/>
        </w:rPr>
        <w:t>low bar relative to BKNG's recent history</w:t>
      </w:r>
      <w:r>
        <w:rPr>
          <w:rFonts w:ascii="Calibri" w:hAnsi="Calibri"/>
          <w:color w:val="525866"/>
          <w:sz w:val="22"/>
        </w:rPr>
        <w:t>, and the bigger swing factor is whether EBITDA margin holds given the $100M discretionary spend pullback and FX tailwind (~2pp to reported growth rates).</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Hotel Room Nights Sold (M)</w:t>
            </w:r>
          </w:p>
        </w:tc>
        <w:tc>
          <w:tcPr>
            <w:tcW w:type="dxa" w:w="1234"/>
          </w:tcPr>
          <w:p>
            <w:r>
              <w:rPr>
                <w:rFonts w:ascii="Calibri" w:hAnsi="Calibri"/>
                <w:sz w:val="22"/>
              </w:rPr>
              <w:t>338M</w:t>
            </w:r>
          </w:p>
        </w:tc>
        <w:tc>
          <w:tcPr>
            <w:tcW w:type="dxa" w:w="1234"/>
          </w:tcPr>
          <w:p>
            <w:r>
              <w:rPr>
                <w:rFonts w:ascii="Calibri" w:hAnsi="Calibri"/>
                <w:sz w:val="22"/>
              </w:rPr>
              <w:t>309M</w:t>
            </w:r>
          </w:p>
        </w:tc>
        <w:tc>
          <w:tcPr>
            <w:tcW w:type="dxa" w:w="1234"/>
          </w:tcPr>
          <w:p>
            <w:r>
              <w:rPr>
                <w:rFonts w:ascii="Calibri" w:hAnsi="Calibri"/>
                <w:sz w:val="22"/>
              </w:rPr>
              <w:t>320M</w:t>
            </w:r>
          </w:p>
        </w:tc>
        <w:tc>
          <w:tcPr>
            <w:tcW w:type="dxa" w:w="1234"/>
          </w:tcPr>
          <w:p>
            <w:r>
              <w:rPr>
                <w:rFonts w:ascii="Calibri" w:hAnsi="Calibri"/>
                <w:sz w:val="22"/>
              </w:rPr>
              <w:t>+3.6%</w:t>
            </w:r>
          </w:p>
        </w:tc>
        <w:tc>
          <w:tcPr>
            <w:tcW w:type="dxa" w:w="1234"/>
          </w:tcPr>
          <w:p>
            <w:r>
              <w:rPr>
                <w:rFonts w:ascii="Calibri" w:hAnsi="Calibri"/>
                <w:sz w:val="22"/>
              </w:rPr>
              <w:t>+2% to +4% growth (implied ~315–321M)</w:t>
            </w:r>
          </w:p>
        </w:tc>
        <w:tc>
          <w:tcPr>
            <w:tcW w:type="dxa" w:w="1234"/>
          </w:tcPr>
          <w:p>
            <w:r>
              <w:rPr>
                <w:rFonts w:ascii="Calibri" w:hAnsi="Calibri"/>
                <w:sz w:val="22"/>
              </w:rPr>
              <w:t>~+0% vs. midpoint (~318M)</w:t>
            </w:r>
          </w:p>
        </w:tc>
      </w:tr>
      <w:tr>
        <w:tc>
          <w:tcPr>
            <w:tcW w:type="dxa" w:w="1234"/>
          </w:tcPr>
          <w:p>
            <w:r>
              <w:rPr>
                <w:rFonts w:ascii="Calibri" w:hAnsi="Calibri"/>
                <w:sz w:val="22"/>
              </w:rPr>
              <w:t>Gross Bookings ($B)</w:t>
            </w:r>
          </w:p>
        </w:tc>
        <w:tc>
          <w:tcPr>
            <w:tcW w:type="dxa" w:w="1234"/>
          </w:tcPr>
          <w:p>
            <w:r>
              <w:rPr>
                <w:rFonts w:ascii="Calibri" w:hAnsi="Calibri"/>
                <w:sz w:val="22"/>
              </w:rPr>
              <w:t>$53.8B</w:t>
            </w:r>
          </w:p>
        </w:tc>
        <w:tc>
          <w:tcPr>
            <w:tcW w:type="dxa" w:w="1234"/>
          </w:tcPr>
          <w:p>
            <w:r>
              <w:rPr>
                <w:rFonts w:ascii="Calibri" w:hAnsi="Calibri"/>
                <w:sz w:val="22"/>
              </w:rPr>
              <w:t>$46.7B</w:t>
            </w:r>
          </w:p>
        </w:tc>
        <w:tc>
          <w:tcPr>
            <w:tcW w:type="dxa" w:w="1234"/>
          </w:tcPr>
          <w:p>
            <w:r>
              <w:rPr>
                <w:rFonts w:ascii="Calibri" w:hAnsi="Calibri"/>
                <w:sz w:val="22"/>
              </w:rPr>
              <w:t>$49.4B</w:t>
            </w:r>
          </w:p>
        </w:tc>
        <w:tc>
          <w:tcPr>
            <w:tcW w:type="dxa" w:w="1234"/>
          </w:tcPr>
          <w:p>
            <w:r>
              <w:rPr>
                <w:rFonts w:ascii="Calibri" w:hAnsi="Calibri"/>
                <w:sz w:val="22"/>
              </w:rPr>
              <w:t>+5.8%</w:t>
            </w:r>
          </w:p>
        </w:tc>
        <w:tc>
          <w:tcPr>
            <w:tcW w:type="dxa" w:w="1234"/>
          </w:tcPr>
          <w:p>
            <w:r>
              <w:rPr>
                <w:rFonts w:ascii="Calibri" w:hAnsi="Calibri"/>
                <w:sz w:val="22"/>
              </w:rPr>
              <w:t>+4% to +6% growth (implied ~$48.6–$49.5B)</w:t>
            </w:r>
          </w:p>
        </w:tc>
        <w:tc>
          <w:tcPr>
            <w:tcW w:type="dxa" w:w="1234"/>
          </w:tcPr>
          <w:p>
            <w:r>
              <w:rPr>
                <w:rFonts w:ascii="Calibri" w:hAnsi="Calibri"/>
                <w:sz w:val="22"/>
              </w:rPr>
              <w:t>~+0% to +2% vs. midpoint</w:t>
            </w:r>
          </w:p>
        </w:tc>
      </w:tr>
      <w:tr>
        <w:tc>
          <w:tcPr>
            <w:tcW w:type="dxa" w:w="1234"/>
          </w:tcPr>
          <w:p>
            <w:r>
              <w:rPr>
                <w:rFonts w:ascii="Calibri" w:hAnsi="Calibri"/>
                <w:sz w:val="22"/>
              </w:rPr>
              <w:t>Total Revenues ($B)</w:t>
            </w:r>
          </w:p>
        </w:tc>
        <w:tc>
          <w:tcPr>
            <w:tcW w:type="dxa" w:w="1234"/>
          </w:tcPr>
          <w:p>
            <w:r>
              <w:rPr>
                <w:rFonts w:ascii="Calibri" w:hAnsi="Calibri"/>
                <w:sz w:val="22"/>
              </w:rPr>
              <w:t>$5.53B</w:t>
            </w:r>
          </w:p>
        </w:tc>
        <w:tc>
          <w:tcPr>
            <w:tcW w:type="dxa" w:w="1234"/>
          </w:tcPr>
          <w:p>
            <w:r>
              <w:rPr>
                <w:rFonts w:ascii="Calibri" w:hAnsi="Calibri"/>
                <w:sz w:val="22"/>
              </w:rPr>
              <w:t>$6.80B</w:t>
            </w:r>
          </w:p>
        </w:tc>
        <w:tc>
          <w:tcPr>
            <w:tcW w:type="dxa" w:w="1234"/>
          </w:tcPr>
          <w:p>
            <w:r>
              <w:rPr>
                <w:rFonts w:ascii="Calibri" w:hAnsi="Calibri"/>
                <w:sz w:val="22"/>
              </w:rPr>
              <w:t>$7.19B</w:t>
            </w:r>
          </w:p>
        </w:tc>
        <w:tc>
          <w:tcPr>
            <w:tcW w:type="dxa" w:w="1234"/>
          </w:tcPr>
          <w:p>
            <w:r>
              <w:rPr>
                <w:rFonts w:ascii="Calibri" w:hAnsi="Calibri"/>
                <w:sz w:val="22"/>
              </w:rPr>
              <w:t>+5.7%</w:t>
            </w:r>
          </w:p>
        </w:tc>
        <w:tc>
          <w:tcPr>
            <w:tcW w:type="dxa" w:w="1234"/>
          </w:tcPr>
          <w:p>
            <w:r>
              <w:rPr>
                <w:rFonts w:ascii="Calibri" w:hAnsi="Calibri"/>
                <w:sz w:val="22"/>
              </w:rPr>
              <w:t>+4% to +6% growth (implied ~$7.07–$7.21B)</w:t>
            </w:r>
          </w:p>
        </w:tc>
        <w:tc>
          <w:tcPr>
            <w:tcW w:type="dxa" w:w="1234"/>
          </w:tcPr>
          <w:p>
            <w:r>
              <w:rPr>
                <w:rFonts w:ascii="Calibri" w:hAnsi="Calibri"/>
                <w:sz w:val="22"/>
              </w:rPr>
              <w:t>~+0% to +2% vs. midpoint</w:t>
            </w:r>
          </w:p>
        </w:tc>
      </w:tr>
      <w:tr>
        <w:tc>
          <w:tcPr>
            <w:tcW w:type="dxa" w:w="1234"/>
          </w:tcPr>
          <w:p>
            <w:r>
              <w:rPr>
                <w:rFonts w:ascii="Calibri" w:hAnsi="Calibri"/>
                <w:sz w:val="22"/>
              </w:rPr>
              <w:t>Adj. EBITDA ($B)</w:t>
            </w:r>
          </w:p>
        </w:tc>
        <w:tc>
          <w:tcPr>
            <w:tcW w:type="dxa" w:w="1234"/>
          </w:tcPr>
          <w:p>
            <w:r>
              <w:rPr>
                <w:rFonts w:ascii="Calibri" w:hAnsi="Calibri"/>
                <w:sz w:val="22"/>
              </w:rPr>
              <w:t>$1.29B</w:t>
            </w:r>
          </w:p>
        </w:tc>
        <w:tc>
          <w:tcPr>
            <w:tcW w:type="dxa" w:w="1234"/>
          </w:tcPr>
          <w:p>
            <w:r>
              <w:rPr>
                <w:rFonts w:ascii="Calibri" w:hAnsi="Calibri"/>
                <w:sz w:val="22"/>
              </w:rPr>
              <w:t>$2.42B</w:t>
            </w:r>
          </w:p>
        </w:tc>
        <w:tc>
          <w:tcPr>
            <w:tcW w:type="dxa" w:w="1234"/>
          </w:tcPr>
          <w:p>
            <w:r>
              <w:rPr>
                <w:rFonts w:ascii="Calibri" w:hAnsi="Calibri"/>
                <w:sz w:val="22"/>
              </w:rPr>
              <w:t>$2.56B</w:t>
            </w:r>
          </w:p>
        </w:tc>
        <w:tc>
          <w:tcPr>
            <w:tcW w:type="dxa" w:w="1234"/>
          </w:tcPr>
          <w:p>
            <w:r>
              <w:rPr>
                <w:rFonts w:ascii="Calibri" w:hAnsi="Calibri"/>
                <w:sz w:val="22"/>
              </w:rPr>
              <w:t>+5.7%</w:t>
            </w:r>
          </w:p>
        </w:tc>
        <w:tc>
          <w:tcPr>
            <w:tcW w:type="dxa" w:w="1234"/>
          </w:tcPr>
          <w:p>
            <w:r>
              <w:rPr>
                <w:rFonts w:ascii="Calibri" w:hAnsi="Calibri"/>
                <w:sz w:val="22"/>
              </w:rPr>
              <w:t>+4% to +6% growth (implied ~$2.51–$2.57B)</w:t>
            </w:r>
          </w:p>
        </w:tc>
        <w:tc>
          <w:tcPr>
            <w:tcW w:type="dxa" w:w="1234"/>
          </w:tcPr>
          <w:p>
            <w:r>
              <w:rPr>
                <w:rFonts w:ascii="Calibri" w:hAnsi="Calibri"/>
                <w:sz w:val="22"/>
              </w:rPr>
              <w:t>~+1% vs. midpoint</w:t>
            </w:r>
          </w:p>
        </w:tc>
      </w:tr>
      <w:tr>
        <w:tc>
          <w:tcPr>
            <w:tcW w:type="dxa" w:w="1234"/>
          </w:tcPr>
          <w:p>
            <w:r>
              <w:rPr>
                <w:rFonts w:ascii="Calibri" w:hAnsi="Calibri"/>
                <w:sz w:val="22"/>
              </w:rPr>
              <w:t>Adj. EPS — Diluted ($)</w:t>
            </w:r>
          </w:p>
        </w:tc>
        <w:tc>
          <w:tcPr>
            <w:tcW w:type="dxa" w:w="1234"/>
          </w:tcPr>
          <w:p>
            <w:r>
              <w:rPr>
                <w:rFonts w:ascii="Calibri" w:hAnsi="Calibri"/>
                <w:sz w:val="22"/>
              </w:rPr>
              <w:t>$1.14</w:t>
            </w:r>
          </w:p>
        </w:tc>
        <w:tc>
          <w:tcPr>
            <w:tcW w:type="dxa" w:w="1234"/>
          </w:tcPr>
          <w:p>
            <w:r>
              <w:rPr>
                <w:rFonts w:ascii="Calibri" w:hAnsi="Calibri"/>
                <w:sz w:val="22"/>
              </w:rPr>
              <w:t>$2.22</w:t>
            </w:r>
          </w:p>
        </w:tc>
        <w:tc>
          <w:tcPr>
            <w:tcW w:type="dxa" w:w="1234"/>
          </w:tcPr>
          <w:p>
            <w:r>
              <w:rPr>
                <w:rFonts w:ascii="Calibri" w:hAnsi="Calibri"/>
                <w:sz w:val="22"/>
              </w:rPr>
              <w:t>$2.41</w:t>
            </w:r>
          </w:p>
        </w:tc>
        <w:tc>
          <w:tcPr>
            <w:tcW w:type="dxa" w:w="1234"/>
          </w:tcPr>
          <w:p>
            <w:r>
              <w:rPr>
                <w:rFonts w:ascii="Calibri" w:hAnsi="Calibri"/>
                <w:sz w:val="22"/>
              </w:rPr>
              <w:t>+8.6%</w:t>
            </w:r>
          </w:p>
        </w:tc>
        <w:tc>
          <w:tcPr>
            <w:tcW w:type="dxa" w:w="1234"/>
          </w:tcPr>
          <w:p>
            <w:r>
              <w:rPr>
                <w:rFonts w:ascii="Calibri" w:hAnsi="Calibri"/>
                <w:sz w:val="22"/>
              </w:rPr>
              <w:t>N/A — no explicit EPS guidance given</w:t>
            </w:r>
          </w:p>
        </w:tc>
        <w:tc>
          <w:tcPr>
            <w:tcW w:type="dxa" w:w="1234"/>
          </w:tcPr>
          <w:p>
            <w:r>
              <w:rPr>
                <w:rFonts w:ascii="Calibri" w:hAnsi="Calibri"/>
                <w:sz w:val="22"/>
              </w:rPr>
              <w:t>N/A</w:t>
            </w:r>
          </w:p>
        </w:tc>
      </w:tr>
    </w:tbl>
    <w:p>
      <w:r>
        <w:rPr>
          <w:rFonts w:ascii="Calibri" w:hAnsi="Calibri"/>
          <w:i/>
          <w:color w:val="525866"/>
          <w:sz w:val="22"/>
        </w:rPr>
        <w:t>Sources: Visible Alpha Consensus and Actuals Data</w:t>
      </w:r>
      <w:r>
        <w:rPr>
          <w:rFonts w:ascii="Calibri" w:hAnsi="Calibri"/>
          <w:i/>
          <w:color w:val="525866"/>
          <w:sz w:val="22"/>
        </w:rPr>
        <w:t xml:space="preserve"> (Hotel room nights sold, Gross bookings, Total revenues, EBITDA – Operating, EPS-Diluted – Operating). Q2 2026 guidance from Q1 2026 earnings call (April 28, 2026). FX tailwind of ~2pp embedded in reported growth rates per management guidance.</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Hotel Room Nights Sold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287</w:t>
            </w:r>
          </w:p>
        </w:tc>
        <w:tc>
          <w:tcPr>
            <w:tcW w:type="dxa" w:w="1728"/>
          </w:tcPr>
          <w:p>
            <w:r>
              <w:rPr>
                <w:rFonts w:ascii="Calibri" w:hAnsi="Calibri"/>
                <w:sz w:val="22"/>
              </w:rPr>
              <w:t>285</w:t>
            </w:r>
          </w:p>
        </w:tc>
        <w:tc>
          <w:tcPr>
            <w:tcW w:type="dxa" w:w="1728"/>
          </w:tcPr>
          <w:p>
            <w:r>
              <w:rPr>
                <w:rFonts w:ascii="Calibri" w:hAnsi="Calibri"/>
                <w:sz w:val="22"/>
              </w:rPr>
              <w:t>+0.7%</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299</w:t>
            </w:r>
          </w:p>
        </w:tc>
        <w:tc>
          <w:tcPr>
            <w:tcW w:type="dxa" w:w="1728"/>
          </w:tcPr>
          <w:p>
            <w:r>
              <w:rPr>
                <w:rFonts w:ascii="Calibri" w:hAnsi="Calibri"/>
                <w:sz w:val="22"/>
              </w:rPr>
              <w:t>291</w:t>
            </w:r>
          </w:p>
        </w:tc>
        <w:tc>
          <w:tcPr>
            <w:tcW w:type="dxa" w:w="1728"/>
          </w:tcPr>
          <w:p>
            <w:r>
              <w:rPr>
                <w:rFonts w:ascii="Calibri" w:hAnsi="Calibri"/>
                <w:sz w:val="22"/>
              </w:rPr>
              <w:t>+2.8%</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261</w:t>
            </w:r>
          </w:p>
        </w:tc>
        <w:tc>
          <w:tcPr>
            <w:tcW w:type="dxa" w:w="1728"/>
          </w:tcPr>
          <w:p>
            <w:r>
              <w:rPr>
                <w:rFonts w:ascii="Calibri" w:hAnsi="Calibri"/>
                <w:sz w:val="22"/>
              </w:rPr>
              <w:t>250</w:t>
            </w:r>
          </w:p>
        </w:tc>
        <w:tc>
          <w:tcPr>
            <w:tcW w:type="dxa" w:w="1728"/>
          </w:tcPr>
          <w:p>
            <w:r>
              <w:rPr>
                <w:rFonts w:ascii="Calibri" w:hAnsi="Calibri"/>
                <w:sz w:val="22"/>
              </w:rPr>
              <w:t>+4.3%</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319</w:t>
            </w:r>
          </w:p>
        </w:tc>
        <w:tc>
          <w:tcPr>
            <w:tcW w:type="dxa" w:w="1728"/>
          </w:tcPr>
          <w:p>
            <w:r>
              <w:rPr>
                <w:rFonts w:ascii="Calibri" w:hAnsi="Calibri"/>
                <w:sz w:val="22"/>
              </w:rPr>
              <w:t>318</w:t>
            </w:r>
          </w:p>
        </w:tc>
        <w:tc>
          <w:tcPr>
            <w:tcW w:type="dxa" w:w="1728"/>
          </w:tcPr>
          <w:p>
            <w:r>
              <w:rPr>
                <w:rFonts w:ascii="Calibri" w:hAnsi="Calibri"/>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309</w:t>
            </w:r>
          </w:p>
        </w:tc>
        <w:tc>
          <w:tcPr>
            <w:tcW w:type="dxa" w:w="1728"/>
          </w:tcPr>
          <w:p>
            <w:r>
              <w:rPr>
                <w:rFonts w:ascii="Calibri" w:hAnsi="Calibri"/>
                <w:sz w:val="22"/>
              </w:rPr>
              <w:t>305</w:t>
            </w:r>
          </w:p>
        </w:tc>
        <w:tc>
          <w:tcPr>
            <w:tcW w:type="dxa" w:w="1728"/>
          </w:tcPr>
          <w:p>
            <w:r>
              <w:rPr>
                <w:rFonts w:ascii="Calibri" w:hAnsi="Calibri"/>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323</w:t>
            </w:r>
          </w:p>
        </w:tc>
        <w:tc>
          <w:tcPr>
            <w:tcW w:type="dxa" w:w="1728"/>
          </w:tcPr>
          <w:p>
            <w:r>
              <w:rPr>
                <w:rFonts w:ascii="Calibri" w:hAnsi="Calibri"/>
                <w:sz w:val="22"/>
              </w:rPr>
              <w:t>316</w:t>
            </w:r>
          </w:p>
        </w:tc>
        <w:tc>
          <w:tcPr>
            <w:tcW w:type="dxa" w:w="1728"/>
          </w:tcPr>
          <w:p>
            <w:r>
              <w:rPr>
                <w:rFonts w:ascii="Calibri" w:hAnsi="Calibri"/>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285</w:t>
            </w:r>
          </w:p>
        </w:tc>
        <w:tc>
          <w:tcPr>
            <w:tcW w:type="dxa" w:w="1728"/>
          </w:tcPr>
          <w:p>
            <w:r>
              <w:rPr>
                <w:rFonts w:ascii="Calibri" w:hAnsi="Calibri"/>
                <w:sz w:val="22"/>
              </w:rPr>
              <w:t>279</w:t>
            </w:r>
          </w:p>
        </w:tc>
        <w:tc>
          <w:tcPr>
            <w:tcW w:type="dxa" w:w="1728"/>
          </w:tcPr>
          <w:p>
            <w:r>
              <w:rPr>
                <w:rFonts w:ascii="Calibri" w:hAnsi="Calibri"/>
                <w:sz w:val="22"/>
              </w:rPr>
              <w:t>+2.1%</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338</w:t>
            </w:r>
          </w:p>
        </w:tc>
        <w:tc>
          <w:tcPr>
            <w:tcW w:type="dxa" w:w="1728"/>
          </w:tcPr>
          <w:p>
            <w:r>
              <w:rPr>
                <w:rFonts w:ascii="Calibri" w:hAnsi="Calibri"/>
                <w:sz w:val="22"/>
              </w:rPr>
              <w:t>341</w:t>
            </w:r>
          </w:p>
        </w:tc>
        <w:tc>
          <w:tcPr>
            <w:tcW w:type="dxa" w:w="1728"/>
          </w:tcPr>
          <w:p>
            <w:r>
              <w:rPr>
                <w:rFonts w:ascii="Calibri" w:hAnsi="Calibri"/>
                <w:sz w:val="22"/>
              </w:rPr>
              <w:t>-0.9%</w:t>
            </w:r>
          </w:p>
        </w:tc>
        <w:tc>
          <w:tcPr>
            <w:tcW w:type="dxa" w:w="1728"/>
          </w:tcPr>
          <w:p>
            <w:r>
              <w:rPr>
                <w:rFonts w:ascii="Calibri" w:hAnsi="Calibri"/>
                <w:b/>
                <w:color w:val="E5484D"/>
                <w:sz w:val="22"/>
              </w:rPr>
              <w:t>Miss</w:t>
            </w:r>
          </w:p>
        </w:tc>
      </w:tr>
    </w:tbl>
    <w:p>
      <w:pPr>
        <w:pStyle w:val="Heading4"/>
      </w:pPr>
      <w:r>
        <w:rPr>
          <w:rFonts w:ascii="Calibri" w:hAnsi="Calibri"/>
          <w:b/>
          <w:color w:val="3B4259"/>
          <w:sz w:val="22"/>
        </w:rPr>
        <w:t>Gross Bookings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$41.4B</w:t>
            </w:r>
          </w:p>
        </w:tc>
        <w:tc>
          <w:tcPr>
            <w:tcW w:type="dxa" w:w="1728"/>
          </w:tcPr>
          <w:p>
            <w:r>
              <w:rPr>
                <w:rFonts w:ascii="Calibri" w:hAnsi="Calibri"/>
                <w:sz w:val="22"/>
              </w:rPr>
              <w:t>$41.7B</w:t>
            </w:r>
          </w:p>
        </w:tc>
        <w:tc>
          <w:tcPr>
            <w:tcW w:type="dxa" w:w="1728"/>
          </w:tcPr>
          <w:p>
            <w:r>
              <w:rPr>
                <w:rFonts w:ascii="Calibri" w:hAnsi="Calibri"/>
                <w:sz w:val="22"/>
              </w:rPr>
              <w:t>-0.7%</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$43.4B</w:t>
            </w:r>
          </w:p>
        </w:tc>
        <w:tc>
          <w:tcPr>
            <w:tcW w:type="dxa" w:w="1728"/>
          </w:tcPr>
          <w:p>
            <w:r>
              <w:rPr>
                <w:rFonts w:ascii="Calibri" w:hAnsi="Calibri"/>
                <w:sz w:val="22"/>
              </w:rPr>
              <w:t>$41.5B</w:t>
            </w:r>
          </w:p>
        </w:tc>
        <w:tc>
          <w:tcPr>
            <w:tcW w:type="dxa" w:w="1728"/>
          </w:tcPr>
          <w:p>
            <w:r>
              <w:rPr>
                <w:rFonts w:ascii="Calibri" w:hAnsi="Calibri"/>
                <w:sz w:val="22"/>
              </w:rPr>
              <w:t>+4.7%</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$37.1B</w:t>
            </w:r>
          </w:p>
        </w:tc>
        <w:tc>
          <w:tcPr>
            <w:tcW w:type="dxa" w:w="1728"/>
          </w:tcPr>
          <w:p>
            <w:r>
              <w:rPr>
                <w:rFonts w:ascii="Calibri" w:hAnsi="Calibri"/>
                <w:sz w:val="22"/>
              </w:rPr>
              <w:t>$34.5B</w:t>
            </w:r>
          </w:p>
        </w:tc>
        <w:tc>
          <w:tcPr>
            <w:tcW w:type="dxa" w:w="1728"/>
          </w:tcPr>
          <w:p>
            <w:r>
              <w:rPr>
                <w:rFonts w:ascii="Calibri" w:hAnsi="Calibri"/>
                <w:sz w:val="22"/>
              </w:rPr>
              <w:t>+7.5%</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$46.7B</w:t>
            </w:r>
          </w:p>
        </w:tc>
        <w:tc>
          <w:tcPr>
            <w:tcW w:type="dxa" w:w="1728"/>
          </w:tcPr>
          <w:p>
            <w:r>
              <w:rPr>
                <w:rFonts w:ascii="Calibri" w:hAnsi="Calibri"/>
                <w:sz w:val="22"/>
              </w:rPr>
              <w:t>$46.5B</w:t>
            </w:r>
          </w:p>
        </w:tc>
        <w:tc>
          <w:tcPr>
            <w:tcW w:type="dxa" w:w="1728"/>
          </w:tcPr>
          <w:p>
            <w:r>
              <w:rPr>
                <w:rFonts w:ascii="Calibri" w:hAnsi="Calibri"/>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$46.7B</w:t>
            </w:r>
          </w:p>
        </w:tc>
        <w:tc>
          <w:tcPr>
            <w:tcW w:type="dxa" w:w="1728"/>
          </w:tcPr>
          <w:p>
            <w:r>
              <w:rPr>
                <w:rFonts w:ascii="Calibri" w:hAnsi="Calibri"/>
                <w:sz w:val="22"/>
              </w:rPr>
              <w:t>$46.2B</w:t>
            </w:r>
          </w:p>
        </w:tc>
        <w:tc>
          <w:tcPr>
            <w:tcW w:type="dxa" w:w="1728"/>
          </w:tcPr>
          <w:p>
            <w:r>
              <w:rPr>
                <w:rFonts w:ascii="Calibri" w:hAnsi="Calibri"/>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$49.6B</w:t>
            </w:r>
          </w:p>
        </w:tc>
        <w:tc>
          <w:tcPr>
            <w:tcW w:type="dxa" w:w="1728"/>
          </w:tcPr>
          <w:p>
            <w:r>
              <w:rPr>
                <w:rFonts w:ascii="Calibri" w:hAnsi="Calibri"/>
                <w:sz w:val="22"/>
              </w:rPr>
              <w:t>$47.8B</w:t>
            </w:r>
          </w:p>
        </w:tc>
        <w:tc>
          <w:tcPr>
            <w:tcW w:type="dxa" w:w="1728"/>
          </w:tcPr>
          <w:p>
            <w:r>
              <w:rPr>
                <w:rFonts w:ascii="Calibri" w:hAnsi="Calibri"/>
                <w:sz w:val="22"/>
              </w:rPr>
              <w:t>+3.7%</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$43.0B</w:t>
            </w:r>
          </w:p>
        </w:tc>
        <w:tc>
          <w:tcPr>
            <w:tcW w:type="dxa" w:w="1728"/>
          </w:tcPr>
          <w:p>
            <w:r>
              <w:rPr>
                <w:rFonts w:ascii="Calibri" w:hAnsi="Calibri"/>
                <w:sz w:val="22"/>
              </w:rPr>
              <w:t>$42.0B</w:t>
            </w:r>
          </w:p>
        </w:tc>
        <w:tc>
          <w:tcPr>
            <w:tcW w:type="dxa" w:w="1728"/>
          </w:tcPr>
          <w:p>
            <w:r>
              <w:rPr>
                <w:rFonts w:ascii="Calibri" w:hAnsi="Calibri"/>
                <w:sz w:val="22"/>
              </w:rPr>
              <w:t>+2.5%</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$53.8B</w:t>
            </w:r>
          </w:p>
        </w:tc>
        <w:tc>
          <w:tcPr>
            <w:tcW w:type="dxa" w:w="1728"/>
          </w:tcPr>
          <w:p>
            <w:r>
              <w:rPr>
                <w:rFonts w:ascii="Calibri" w:hAnsi="Calibri"/>
                <w:sz w:val="22"/>
              </w:rPr>
              <w:t>$54.0B</w:t>
            </w:r>
          </w:p>
        </w:tc>
        <w:tc>
          <w:tcPr>
            <w:tcW w:type="dxa" w:w="1728"/>
          </w:tcPr>
          <w:p>
            <w:r>
              <w:rPr>
                <w:rFonts w:ascii="Calibri" w:hAnsi="Calibri"/>
                <w:sz w:val="22"/>
              </w:rPr>
              <w:t>-0.4%</w:t>
            </w:r>
          </w:p>
        </w:tc>
        <w:tc>
          <w:tcPr>
            <w:tcW w:type="dxa" w:w="1728"/>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i/>
          <w:color w:val="525866"/>
          <w:sz w:val="22"/>
        </w:rPr>
        <w:t>BKNG has beaten room night consensus in 7 of the last 8 quarters and gross bookings in 6 of 8, with the only misses occurring in Q1 2026 when the Middle East conflict struck mid-quarter — suggesting the company's underlying execution is strong and the Q2 bar, set with a full-quarter conflict assumption, may again prove beatable if the impact was less severe than modeled. Source: Visible Alpha Consensus and Actuals Data.</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 xml:space="preserve">Guidance was formally lowered at the Q1 print (April 28) to reflect the Middle East conflict; no further formal revision has occurred since, but the CFO's May 5 Barclays disclosure of an additional </w:t>
      </w:r>
      <w:r>
        <w:rPr>
          <w:rFonts w:ascii="Calibri" w:hAnsi="Calibri"/>
          <w:b/>
          <w:color w:val="525866"/>
          <w:sz w:val="22"/>
        </w:rPr>
        <w:t>$100M discretionary spend pullback</w:t>
      </w:r>
      <w:r>
        <w:rPr>
          <w:rFonts w:ascii="Calibri" w:hAnsi="Calibri"/>
          <w:color w:val="525866"/>
          <w:sz w:val="22"/>
        </w:rPr>
        <w:t xml:space="preserve"> is a meaningful post-earnings development that provides EBITDA cushion without changing the top-line guidance range.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Call)</w:t>
            </w:r>
          </w:p>
        </w:tc>
        <w:tc>
          <w:tcPr>
            <w:tcW w:type="dxa" w:w="1728"/>
            <w:shd w:val="clear" w:color="auto" w:fill="3B4259"/>
          </w:tcPr>
          <w:p>
            <w:r>
              <w:rPr>
                <w:rFonts w:ascii="Calibri" w:hAnsi="Calibri"/>
                <w:b/>
                <w:color w:val="FFFFFF"/>
                <w:sz w:val="22"/>
              </w:rPr>
              <w:t>Revised Guidance (Q1 2026 Earnings Call, Apr 28)</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Room Night Growth</w:t>
            </w:r>
          </w:p>
        </w:tc>
        <w:tc>
          <w:tcPr>
            <w:tcW w:type="dxa" w:w="1728"/>
          </w:tcPr>
          <w:p>
            <w:r>
              <w:rPr>
                <w:rFonts w:ascii="Calibri" w:hAnsi="Calibri"/>
                <w:sz w:val="22"/>
              </w:rPr>
              <w:t>Not explicitly guided at Q4 call</w:t>
            </w:r>
          </w:p>
        </w:tc>
        <w:tc>
          <w:tcPr>
            <w:tcW w:type="dxa" w:w="1728"/>
          </w:tcPr>
          <w:p>
            <w:r>
              <w:rPr>
                <w:rFonts w:ascii="Calibri" w:hAnsi="Calibri"/>
                <w:sz w:val="22"/>
              </w:rPr>
              <w:t>+2% to +4%</w:t>
            </w:r>
          </w:p>
        </w:tc>
        <w:tc>
          <w:tcPr>
            <w:tcW w:type="dxa" w:w="1728"/>
          </w:tcPr>
          <w:p>
            <w:r>
              <w:rPr>
                <w:rFonts w:ascii="Calibri" w:hAnsi="Calibri"/>
                <w:sz w:val="22"/>
              </w:rPr>
              <w:t>~+3.6% (320M vs. 309M prior year)</w:t>
            </w:r>
          </w:p>
        </w:tc>
        <w:tc>
          <w:tcPr>
            <w:tcW w:type="dxa" w:w="1728"/>
          </w:tcPr>
          <w:p>
            <w:r>
              <w:rPr>
                <w:rFonts w:ascii="Calibri" w:hAnsi="Calibri"/>
                <w:sz w:val="22"/>
              </w:rPr>
              <w:t>↓ New guidance issued Apr 28; embeds ~3pp Middle East headwind for full Q2</w:t>
            </w:r>
          </w:p>
        </w:tc>
      </w:tr>
      <w:tr>
        <w:tc>
          <w:tcPr>
            <w:tcW w:type="dxa" w:w="1728"/>
          </w:tcPr>
          <w:p>
            <w:r>
              <w:rPr>
                <w:rFonts w:ascii="Calibri" w:hAnsi="Calibri"/>
                <w:sz w:val="22"/>
              </w:rPr>
              <w:t>Q2 2026 Gross Bookings Growth</w:t>
            </w:r>
          </w:p>
        </w:tc>
        <w:tc>
          <w:tcPr>
            <w:tcW w:type="dxa" w:w="1728"/>
          </w:tcPr>
          <w:p>
            <w:r>
              <w:rPr>
                <w:rFonts w:ascii="Calibri" w:hAnsi="Calibri"/>
                <w:sz w:val="22"/>
              </w:rPr>
              <w:t>Not explicitly guided at Q4 call</w:t>
            </w:r>
          </w:p>
        </w:tc>
        <w:tc>
          <w:tcPr>
            <w:tcW w:type="dxa" w:w="1728"/>
          </w:tcPr>
          <w:p>
            <w:r>
              <w:rPr>
                <w:rFonts w:ascii="Calibri" w:hAnsi="Calibri"/>
                <w:sz w:val="22"/>
              </w:rPr>
              <w:t>+4% to +6%</w:t>
            </w:r>
          </w:p>
        </w:tc>
        <w:tc>
          <w:tcPr>
            <w:tcW w:type="dxa" w:w="1728"/>
          </w:tcPr>
          <w:p>
            <w:r>
              <w:rPr>
                <w:rFonts w:ascii="Calibri" w:hAnsi="Calibri"/>
                <w:sz w:val="22"/>
              </w:rPr>
              <w:t>~+5.8% ($49.4B)</w:t>
            </w:r>
          </w:p>
        </w:tc>
        <w:tc>
          <w:tcPr>
            <w:tcW w:type="dxa" w:w="1728"/>
          </w:tcPr>
          <w:p>
            <w:r>
              <w:rPr>
                <w:rFonts w:ascii="Calibri" w:hAnsi="Calibri"/>
                <w:sz w:val="22"/>
              </w:rPr>
              <w:t>↓ New guidance issued Apr 28; FX tailwind ~2pp embedded</w:t>
            </w:r>
          </w:p>
        </w:tc>
      </w:tr>
      <w:tr>
        <w:tc>
          <w:tcPr>
            <w:tcW w:type="dxa" w:w="1728"/>
          </w:tcPr>
          <w:p>
            <w:r>
              <w:rPr>
                <w:rFonts w:ascii="Calibri" w:hAnsi="Calibri"/>
                <w:sz w:val="22"/>
              </w:rPr>
              <w:t>Q2 2026 Revenue Growth</w:t>
            </w:r>
          </w:p>
        </w:tc>
        <w:tc>
          <w:tcPr>
            <w:tcW w:type="dxa" w:w="1728"/>
          </w:tcPr>
          <w:p>
            <w:r>
              <w:rPr>
                <w:rFonts w:ascii="Calibri" w:hAnsi="Calibri"/>
                <w:sz w:val="22"/>
              </w:rPr>
              <w:t>Not explicitly guided at Q4 call</w:t>
            </w:r>
          </w:p>
        </w:tc>
        <w:tc>
          <w:tcPr>
            <w:tcW w:type="dxa" w:w="1728"/>
          </w:tcPr>
          <w:p>
            <w:r>
              <w:rPr>
                <w:rFonts w:ascii="Calibri" w:hAnsi="Calibri"/>
                <w:sz w:val="22"/>
              </w:rPr>
              <w:t>+4% to +6%</w:t>
            </w:r>
          </w:p>
        </w:tc>
        <w:tc>
          <w:tcPr>
            <w:tcW w:type="dxa" w:w="1728"/>
          </w:tcPr>
          <w:p>
            <w:r>
              <w:rPr>
                <w:rFonts w:ascii="Calibri" w:hAnsi="Calibri"/>
                <w:sz w:val="22"/>
              </w:rPr>
              <w:t>~+5.7% ($7.19B)</w:t>
            </w:r>
          </w:p>
        </w:tc>
        <w:tc>
          <w:tcPr>
            <w:tcW w:type="dxa" w:w="1728"/>
          </w:tcPr>
          <w:p>
            <w:r>
              <w:rPr>
                <w:rFonts w:ascii="Calibri" w:hAnsi="Calibri"/>
                <w:sz w:val="22"/>
              </w:rPr>
              <w:t>↓ New guidance issued Apr 28</w:t>
            </w:r>
          </w:p>
        </w:tc>
      </w:tr>
      <w:tr>
        <w:tc>
          <w:tcPr>
            <w:tcW w:type="dxa" w:w="1728"/>
          </w:tcPr>
          <w:p>
            <w:r>
              <w:rPr>
                <w:rFonts w:ascii="Calibri" w:hAnsi="Calibri"/>
                <w:sz w:val="22"/>
              </w:rPr>
              <w:t>Q2 2026 Adj. EBITDA Growth</w:t>
            </w:r>
          </w:p>
        </w:tc>
        <w:tc>
          <w:tcPr>
            <w:tcW w:type="dxa" w:w="1728"/>
          </w:tcPr>
          <w:p>
            <w:r>
              <w:rPr>
                <w:rFonts w:ascii="Calibri" w:hAnsi="Calibri"/>
                <w:sz w:val="22"/>
              </w:rPr>
              <w:t>Not explicitly guided at Q4 call</w:t>
            </w:r>
          </w:p>
        </w:tc>
        <w:tc>
          <w:tcPr>
            <w:tcW w:type="dxa" w:w="1728"/>
          </w:tcPr>
          <w:p>
            <w:r>
              <w:rPr>
                <w:rFonts w:ascii="Calibri" w:hAnsi="Calibri"/>
                <w:sz w:val="22"/>
              </w:rPr>
              <w:t>+4% to +6%</w:t>
            </w:r>
          </w:p>
        </w:tc>
        <w:tc>
          <w:tcPr>
            <w:tcW w:type="dxa" w:w="1728"/>
          </w:tcPr>
          <w:p>
            <w:r>
              <w:rPr>
                <w:rFonts w:ascii="Calibri" w:hAnsi="Calibri"/>
                <w:sz w:val="22"/>
              </w:rPr>
              <w:t>~+5.7% ($2.56B)</w:t>
            </w:r>
          </w:p>
        </w:tc>
        <w:tc>
          <w:tcPr>
            <w:tcW w:type="dxa" w:w="1728"/>
          </w:tcPr>
          <w:p>
            <w:r>
              <w:rPr>
                <w:rFonts w:ascii="Calibri" w:hAnsi="Calibri"/>
                <w:sz w:val="22"/>
              </w:rPr>
              <w:t>↓ New guidance Apr 28; $100M discretionary spend pullback disclosed May 5 (Barclays) provides additional cushion</w:t>
            </w:r>
          </w:p>
        </w:tc>
      </w:tr>
      <w:tr>
        <w:tc>
          <w:tcPr>
            <w:tcW w:type="dxa" w:w="1728"/>
          </w:tcPr>
          <w:p>
            <w:r>
              <w:rPr>
                <w:rFonts w:ascii="Calibri" w:hAnsi="Calibri"/>
                <w:sz w:val="22"/>
              </w:rPr>
              <w:t>FY 2026 Gross Bookings Growth</w:t>
            </w:r>
          </w:p>
        </w:tc>
        <w:tc>
          <w:tcPr>
            <w:tcW w:type="dxa" w:w="1728"/>
          </w:tcPr>
          <w:p>
            <w:r>
              <w:rPr>
                <w:rFonts w:ascii="Calibri" w:hAnsi="Calibri"/>
                <w:sz w:val="22"/>
              </w:rPr>
              <w:t>Low double digits (prior expectation)</w:t>
            </w:r>
          </w:p>
        </w:tc>
        <w:tc>
          <w:tcPr>
            <w:tcW w:type="dxa" w:w="1728"/>
          </w:tcPr>
          <w:p>
            <w:r>
              <w:rPr>
                <w:rFonts w:ascii="Calibri" w:hAnsi="Calibri"/>
                <w:sz w:val="22"/>
              </w:rPr>
              <w:t>High single digits to low double digits</w:t>
            </w:r>
          </w:p>
        </w:tc>
        <w:tc>
          <w:tcPr>
            <w:tcW w:type="dxa" w:w="1728"/>
          </w:tcPr>
          <w:p>
            <w:r>
              <w:rPr>
                <w:rFonts w:ascii="Calibri" w:hAnsi="Calibri"/>
                <w:sz w:val="22"/>
              </w:rPr>
              <w:t>~$203.9B (FY consensus)</w:t>
            </w:r>
          </w:p>
        </w:tc>
        <w:tc>
          <w:tcPr>
            <w:tcW w:type="dxa" w:w="1728"/>
          </w:tcPr>
          <w:p>
            <w:r>
              <w:rPr>
                <w:rFonts w:ascii="Calibri" w:hAnsi="Calibri"/>
                <w:sz w:val="22"/>
              </w:rPr>
              <w:t>↓ Lowered Apr 28; assumes Middle East impact through end of June, recovery in H2</w:t>
            </w:r>
          </w:p>
        </w:tc>
      </w:tr>
      <w:tr>
        <w:tc>
          <w:tcPr>
            <w:tcW w:type="dxa" w:w="1728"/>
          </w:tcPr>
          <w:p>
            <w:r>
              <w:rPr>
                <w:rFonts w:ascii="Calibri" w:hAnsi="Calibri"/>
                <w:sz w:val="22"/>
              </w:rPr>
              <w:t>FY 2026 Revenue Growth</w:t>
            </w:r>
          </w:p>
        </w:tc>
        <w:tc>
          <w:tcPr>
            <w:tcW w:type="dxa" w:w="1728"/>
          </w:tcPr>
          <w:p>
            <w:r>
              <w:rPr>
                <w:rFonts w:ascii="Calibri" w:hAnsi="Calibri"/>
                <w:sz w:val="22"/>
              </w:rPr>
              <w:t>Low double digits (prior expectation)</w:t>
            </w:r>
          </w:p>
        </w:tc>
        <w:tc>
          <w:tcPr>
            <w:tcW w:type="dxa" w:w="1728"/>
          </w:tcPr>
          <w:p>
            <w:r>
              <w:rPr>
                <w:rFonts w:ascii="Calibri" w:hAnsi="Calibri"/>
                <w:sz w:val="22"/>
              </w:rPr>
              <w:t>High single digits</w:t>
            </w:r>
          </w:p>
        </w:tc>
        <w:tc>
          <w:tcPr>
            <w:tcW w:type="dxa" w:w="1728"/>
          </w:tcPr>
          <w:p>
            <w:r>
              <w:rPr>
                <w:rFonts w:ascii="Calibri" w:hAnsi="Calibri"/>
                <w:sz w:val="22"/>
              </w:rPr>
              <w:t>~$29.3B (FY consensus)</w:t>
            </w:r>
          </w:p>
        </w:tc>
        <w:tc>
          <w:tcPr>
            <w:tcW w:type="dxa" w:w="1728"/>
          </w:tcPr>
          <w:p>
            <w:r>
              <w:rPr>
                <w:rFonts w:ascii="Calibri" w:hAnsi="Calibri"/>
                <w:sz w:val="22"/>
              </w:rPr>
              <w:t>↓ Lowered Apr 28</w:t>
            </w:r>
          </w:p>
        </w:tc>
      </w:tr>
      <w:tr>
        <w:tc>
          <w:tcPr>
            <w:tcW w:type="dxa" w:w="1728"/>
          </w:tcPr>
          <w:p>
            <w:r>
              <w:rPr>
                <w:rFonts w:ascii="Calibri" w:hAnsi="Calibri"/>
                <w:sz w:val="22"/>
              </w:rPr>
              <w:t>FY 2026 Adj. EBITDA Margin Expansion</w:t>
            </w:r>
          </w:p>
        </w:tc>
        <w:tc>
          <w:tcPr>
            <w:tcW w:type="dxa" w:w="1728"/>
          </w:tcPr>
          <w:p>
            <w:r>
              <w:rPr>
                <w:rFonts w:ascii="Calibri" w:hAnsi="Calibri"/>
                <w:sz w:val="22"/>
              </w:rPr>
              <w:t>~125 bps expansion (prior expectation)</w:t>
            </w:r>
          </w:p>
        </w:tc>
        <w:tc>
          <w:tcPr>
            <w:tcW w:type="dxa" w:w="1728"/>
          </w:tcPr>
          <w:p>
            <w:r>
              <w:rPr>
                <w:rFonts w:ascii="Calibri" w:hAnsi="Calibri"/>
                <w:sz w:val="22"/>
              </w:rPr>
              <w:t>0 to +25 bps expansion</w:t>
            </w:r>
          </w:p>
        </w:tc>
        <w:tc>
          <w:tcPr>
            <w:tcW w:type="dxa" w:w="1728"/>
          </w:tcPr>
          <w:p>
            <w:r>
              <w:rPr>
                <w:rFonts w:ascii="Calibri" w:hAnsi="Calibri"/>
                <w:sz w:val="22"/>
              </w:rPr>
              <w:t>~$10.9B FY EBITDA consensus</w:t>
            </w:r>
          </w:p>
        </w:tc>
        <w:tc>
          <w:tcPr>
            <w:tcW w:type="dxa" w:w="1728"/>
          </w:tcPr>
          <w:p>
            <w:r>
              <w:rPr>
                <w:rFonts w:ascii="Calibri" w:hAnsi="Calibri"/>
                <w:sz w:val="22"/>
              </w:rPr>
              <w:t>↓ Lowered Apr 28; $100M spend pullback (May 5) may support high end of range</w:t>
            </w:r>
          </w:p>
        </w:tc>
      </w:tr>
      <w:tr>
        <w:tc>
          <w:tcPr>
            <w:tcW w:type="dxa" w:w="1728"/>
          </w:tcPr>
          <w:p>
            <w:r>
              <w:rPr>
                <w:rFonts w:ascii="Calibri" w:hAnsi="Calibri"/>
                <w:sz w:val="22"/>
              </w:rPr>
              <w:t>FY 2026 Adj. EPS Growth</w:t>
            </w:r>
          </w:p>
        </w:tc>
        <w:tc>
          <w:tcPr>
            <w:tcW w:type="dxa" w:w="1728"/>
          </w:tcPr>
          <w:p>
            <w:r>
              <w:rPr>
                <w:rFonts w:ascii="Calibri" w:hAnsi="Calibri"/>
                <w:sz w:val="22"/>
              </w:rPr>
              <w:t>~+20% (prior expectation)</w:t>
            </w:r>
          </w:p>
        </w:tc>
        <w:tc>
          <w:tcPr>
            <w:tcW w:type="dxa" w:w="1728"/>
          </w:tcPr>
          <w:p>
            <w:r>
              <w:rPr>
                <w:rFonts w:ascii="Calibri" w:hAnsi="Calibri"/>
                <w:sz w:val="22"/>
              </w:rPr>
              <w:t>Low to mid-teens growth</w:t>
            </w:r>
          </w:p>
        </w:tc>
        <w:tc>
          <w:tcPr>
            <w:tcW w:type="dxa" w:w="1728"/>
          </w:tcPr>
          <w:p>
            <w:r>
              <w:rPr>
                <w:rFonts w:ascii="Calibri" w:hAnsi="Calibri"/>
                <w:sz w:val="22"/>
              </w:rPr>
              <w:t>~$10.42 (FY consensus)</w:t>
            </w:r>
          </w:p>
        </w:tc>
        <w:tc>
          <w:tcPr>
            <w:tcW w:type="dxa" w:w="1728"/>
          </w:tcPr>
          <w:p>
            <w:r>
              <w:rPr>
                <w:rFonts w:ascii="Calibri" w:hAnsi="Calibri"/>
                <w:sz w:val="22"/>
              </w:rPr>
              <w:t>↓ Lowered Apr 28; long-term 15% EPS growth target reaffirmed</w:t>
            </w:r>
          </w:p>
        </w:tc>
      </w:tr>
    </w:tbl>
    <w:p>
      <w:r>
        <w:rPr>
          <w:rFonts w:ascii="Calibri" w:hAnsi="Calibri"/>
          <w:i/>
          <w:color w:val="525866"/>
          <w:sz w:val="22"/>
        </w:rPr>
        <w:t>Sources: Q1 2026 Earnings Call transcript (April 28, 2026); Barclays Americas Select Conference transcript (May 5, 2026); Visible Alpha Consensus and Actuals Data.</w:t>
      </w:r>
    </w:p>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tracked guidance closely since the Q1 print — the street has largely accepted management's Middle East framework without adding incremental pessimism, leaving </w:t>
      </w:r>
      <w:r>
        <w:rPr>
          <w:rFonts w:ascii="Calibri" w:hAnsi="Calibri"/>
          <w:b/>
          <w:color w:val="525866"/>
          <w:sz w:val="22"/>
        </w:rPr>
        <w:t>consensus near the midpoint of guidance ranges</w:t>
      </w:r>
      <w:r>
        <w:rPr>
          <w:rFonts w:ascii="Calibri" w:hAnsi="Calibri"/>
          <w:color w:val="525866"/>
          <w:sz w:val="22"/>
        </w:rPr>
        <w:t xml:space="preserve"> for Q2 and at the low end of the FY range, which means any outperformance vs. the conflict assumption flows directly to upside.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5,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Apr 28)</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Room Nights (Q2 2026)</w:t>
            </w:r>
          </w:p>
        </w:tc>
        <w:tc>
          <w:tcPr>
            <w:tcW w:type="dxa" w:w="1080"/>
          </w:tcPr>
          <w:p>
            <w:r>
              <w:rPr>
                <w:rFonts w:ascii="Calibri" w:hAnsi="Calibri"/>
                <w:sz w:val="22"/>
              </w:rPr>
              <w:t>320M</w:t>
            </w:r>
          </w:p>
        </w:tc>
        <w:tc>
          <w:tcPr>
            <w:tcW w:type="dxa" w:w="1080"/>
          </w:tcPr>
          <w:p>
            <w:r>
              <w:rPr>
                <w:rFonts w:ascii="Calibri" w:hAnsi="Calibri"/>
                <w:sz w:val="22"/>
              </w:rPr>
              <w:t>320M</w:t>
            </w:r>
          </w:p>
        </w:tc>
        <w:tc>
          <w:tcPr>
            <w:tcW w:type="dxa" w:w="1080"/>
          </w:tcPr>
          <w:p>
            <w:r>
              <w:rPr>
                <w:rFonts w:ascii="Calibri" w:hAnsi="Calibri"/>
                <w:sz w:val="22"/>
              </w:rPr>
              <w:t>~0%</w:t>
            </w:r>
          </w:p>
        </w:tc>
        <w:tc>
          <w:tcPr>
            <w:tcW w:type="dxa" w:w="1080"/>
          </w:tcPr>
          <w:p>
            <w:r>
              <w:rPr>
                <w:rFonts w:ascii="Calibri" w:hAnsi="Calibri"/>
                <w:sz w:val="22"/>
              </w:rPr>
              <w:t>+2% to +4% (315–321M)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~+0.6% above midpoint</w:t>
            </w:r>
          </w:p>
        </w:tc>
      </w:tr>
      <w:tr>
        <w:tc>
          <w:tcPr>
            <w:tcW w:type="dxa" w:w="1080"/>
          </w:tcPr>
          <w:p>
            <w:r>
              <w:rPr>
                <w:rFonts w:ascii="Calibri" w:hAnsi="Calibri"/>
                <w:sz w:val="22"/>
              </w:rPr>
              <w:t>Gross Bookings (Q2 2026)</w:t>
            </w:r>
          </w:p>
        </w:tc>
        <w:tc>
          <w:tcPr>
            <w:tcW w:type="dxa" w:w="1080"/>
          </w:tcPr>
          <w:p>
            <w:r>
              <w:rPr>
                <w:rFonts w:ascii="Calibri" w:hAnsi="Calibri"/>
                <w:sz w:val="22"/>
              </w:rPr>
              <w:t>$49.3B</w:t>
            </w:r>
          </w:p>
        </w:tc>
        <w:tc>
          <w:tcPr>
            <w:tcW w:type="dxa" w:w="1080"/>
          </w:tcPr>
          <w:p>
            <w:r>
              <w:rPr>
                <w:rFonts w:ascii="Calibri" w:hAnsi="Calibri"/>
                <w:sz w:val="22"/>
              </w:rPr>
              <w:t>$49.4B</w:t>
            </w:r>
          </w:p>
        </w:tc>
        <w:tc>
          <w:tcPr>
            <w:tcW w:type="dxa" w:w="1080"/>
          </w:tcPr>
          <w:p>
            <w:r>
              <w:rPr>
                <w:rFonts w:ascii="Calibri" w:hAnsi="Calibri"/>
                <w:sz w:val="22"/>
              </w:rPr>
              <w:t>+0.2%</w:t>
            </w:r>
          </w:p>
        </w:tc>
        <w:tc>
          <w:tcPr>
            <w:tcW w:type="dxa" w:w="1080"/>
          </w:tcPr>
          <w:p>
            <w:r>
              <w:rPr>
                <w:rFonts w:ascii="Calibri" w:hAnsi="Calibri"/>
                <w:sz w:val="22"/>
              </w:rPr>
              <w:t>+4% to +6% ($48.6–$49.5B)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~+1.6% above midpoint</w:t>
            </w:r>
          </w:p>
        </w:tc>
      </w:tr>
      <w:tr>
        <w:tc>
          <w:tcPr>
            <w:tcW w:type="dxa" w:w="1080"/>
          </w:tcPr>
          <w:p>
            <w:r>
              <w:rPr>
                <w:rFonts w:ascii="Calibri" w:hAnsi="Calibri"/>
                <w:sz w:val="22"/>
              </w:rPr>
              <w:t>Total Revenue (Q2 2026)</w:t>
            </w:r>
          </w:p>
        </w:tc>
        <w:tc>
          <w:tcPr>
            <w:tcW w:type="dxa" w:w="1080"/>
          </w:tcPr>
          <w:p>
            <w:r>
              <w:rPr>
                <w:rFonts w:ascii="Calibri" w:hAnsi="Calibri"/>
                <w:sz w:val="22"/>
              </w:rPr>
              <w:t>$7.18B</w:t>
            </w:r>
          </w:p>
        </w:tc>
        <w:tc>
          <w:tcPr>
            <w:tcW w:type="dxa" w:w="1080"/>
          </w:tcPr>
          <w:p>
            <w:r>
              <w:rPr>
                <w:rFonts w:ascii="Calibri" w:hAnsi="Calibri"/>
                <w:sz w:val="22"/>
              </w:rPr>
              <w:t>$7.19B</w:t>
            </w:r>
          </w:p>
        </w:tc>
        <w:tc>
          <w:tcPr>
            <w:tcW w:type="dxa" w:w="1080"/>
          </w:tcPr>
          <w:p>
            <w:r>
              <w:rPr>
                <w:rFonts w:ascii="Calibri" w:hAnsi="Calibri"/>
                <w:sz w:val="22"/>
              </w:rPr>
              <w:t>+0.1%</w:t>
            </w:r>
          </w:p>
        </w:tc>
        <w:tc>
          <w:tcPr>
            <w:tcW w:type="dxa" w:w="1080"/>
          </w:tcPr>
          <w:p>
            <w:r>
              <w:rPr>
                <w:rFonts w:ascii="Calibri" w:hAnsi="Calibri"/>
                <w:sz w:val="22"/>
              </w:rPr>
              <w:t>+4% to +6% ($7.07–$7.21B)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~+1.7% above midpoint</w:t>
            </w:r>
          </w:p>
        </w:tc>
      </w:tr>
      <w:tr>
        <w:tc>
          <w:tcPr>
            <w:tcW w:type="dxa" w:w="1080"/>
          </w:tcPr>
          <w:p>
            <w:r>
              <w:rPr>
                <w:rFonts w:ascii="Calibri" w:hAnsi="Calibri"/>
                <w:sz w:val="22"/>
              </w:rPr>
              <w:t>Adj. EBITDA (Q2 2026)</w:t>
            </w:r>
          </w:p>
        </w:tc>
        <w:tc>
          <w:tcPr>
            <w:tcW w:type="dxa" w:w="1080"/>
          </w:tcPr>
          <w:p>
            <w:r>
              <w:rPr>
                <w:rFonts w:ascii="Calibri" w:hAnsi="Calibri"/>
                <w:sz w:val="22"/>
              </w:rPr>
              <w:t>$2.55B</w:t>
            </w:r>
          </w:p>
        </w:tc>
        <w:tc>
          <w:tcPr>
            <w:tcW w:type="dxa" w:w="1080"/>
          </w:tcPr>
          <w:p>
            <w:r>
              <w:rPr>
                <w:rFonts w:ascii="Calibri" w:hAnsi="Calibri"/>
                <w:sz w:val="22"/>
              </w:rPr>
              <w:t>$2.56B</w:t>
            </w:r>
          </w:p>
        </w:tc>
        <w:tc>
          <w:tcPr>
            <w:tcW w:type="dxa" w:w="1080"/>
          </w:tcPr>
          <w:p>
            <w:r>
              <w:rPr>
                <w:rFonts w:ascii="Calibri" w:hAnsi="Calibri"/>
                <w:sz w:val="22"/>
              </w:rPr>
              <w:t>+0.2%</w:t>
            </w:r>
          </w:p>
        </w:tc>
        <w:tc>
          <w:tcPr>
            <w:tcW w:type="dxa" w:w="1080"/>
          </w:tcPr>
          <w:p>
            <w:r>
              <w:rPr>
                <w:rFonts w:ascii="Calibri" w:hAnsi="Calibri"/>
                <w:sz w:val="22"/>
              </w:rPr>
              <w:t>+4% to +6% ($2.51–$2.57B)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~+1.9% above midpoint</w:t>
            </w:r>
          </w:p>
        </w:tc>
      </w:tr>
      <w:tr>
        <w:tc>
          <w:tcPr>
            <w:tcW w:type="dxa" w:w="1080"/>
          </w:tcPr>
          <w:p>
            <w:r>
              <w:rPr>
                <w:rFonts w:ascii="Calibri" w:hAnsi="Calibri"/>
                <w:sz w:val="22"/>
              </w:rPr>
              <w:t>Adj. EPS (Q2 2026)</w:t>
            </w:r>
          </w:p>
        </w:tc>
        <w:tc>
          <w:tcPr>
            <w:tcW w:type="dxa" w:w="1080"/>
          </w:tcPr>
          <w:p>
            <w:r>
              <w:rPr>
                <w:rFonts w:ascii="Calibri" w:hAnsi="Calibri"/>
                <w:sz w:val="22"/>
              </w:rPr>
              <w:t>$2.41</w:t>
            </w:r>
          </w:p>
        </w:tc>
        <w:tc>
          <w:tcPr>
            <w:tcW w:type="dxa" w:w="1080"/>
          </w:tcPr>
          <w:p>
            <w:r>
              <w:rPr>
                <w:rFonts w:ascii="Calibri" w:hAnsi="Calibri"/>
                <w:sz w:val="22"/>
              </w:rPr>
              <w:t>$2.41</w:t>
            </w:r>
          </w:p>
        </w:tc>
        <w:tc>
          <w:tcPr>
            <w:tcW w:type="dxa" w:w="1080"/>
          </w:tcPr>
          <w:p>
            <w:r>
              <w:rPr>
                <w:rFonts w:ascii="Calibri" w:hAnsi="Calibri"/>
                <w:sz w:val="22"/>
              </w:rPr>
              <w:t>~0%</w:t>
            </w:r>
          </w:p>
        </w:tc>
        <w:tc>
          <w:tcPr>
            <w:tcW w:type="dxa" w:w="1080"/>
          </w:tcPr>
          <w:p>
            <w:r>
              <w:rPr>
                <w:rFonts w:ascii="Calibri" w:hAnsi="Calibri"/>
                <w:sz w:val="22"/>
              </w:rPr>
              <w:t>N/A (no explicit EPS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Gross Bookings (FY 2026)</w:t>
            </w:r>
          </w:p>
        </w:tc>
        <w:tc>
          <w:tcPr>
            <w:tcW w:type="dxa" w:w="1080"/>
          </w:tcPr>
          <w:p>
            <w:r>
              <w:rPr>
                <w:rFonts w:ascii="Calibri" w:hAnsi="Calibri"/>
                <w:sz w:val="22"/>
              </w:rPr>
              <w:t>$204.2B</w:t>
            </w:r>
          </w:p>
        </w:tc>
        <w:tc>
          <w:tcPr>
            <w:tcW w:type="dxa" w:w="1080"/>
          </w:tcPr>
          <w:p>
            <w:r>
              <w:rPr>
                <w:rFonts w:ascii="Calibri" w:hAnsi="Calibri"/>
                <w:sz w:val="22"/>
              </w:rPr>
              <w:t>$203.9B</w:t>
            </w:r>
          </w:p>
        </w:tc>
        <w:tc>
          <w:tcPr>
            <w:tcW w:type="dxa" w:w="1080"/>
          </w:tcPr>
          <w:p>
            <w:r>
              <w:rPr>
                <w:rFonts w:ascii="Calibri" w:hAnsi="Calibri"/>
                <w:sz w:val="22"/>
              </w:rPr>
              <w:t>-0.2%</w:t>
            </w:r>
          </w:p>
        </w:tc>
        <w:tc>
          <w:tcPr>
            <w:tcW w:type="dxa" w:w="1080"/>
          </w:tcPr>
          <w:p>
            <w:r>
              <w:rPr>
                <w:rFonts w:ascii="Calibri" w:hAnsi="Calibri"/>
                <w:sz w:val="22"/>
              </w:rPr>
              <w:t>High single to low double digits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Near low end of range</w:t>
            </w:r>
          </w:p>
        </w:tc>
      </w:tr>
      <w:tr>
        <w:tc>
          <w:tcPr>
            <w:tcW w:type="dxa" w:w="1080"/>
          </w:tcPr>
          <w:p>
            <w:r>
              <w:rPr>
                <w:rFonts w:ascii="Calibri" w:hAnsi="Calibri"/>
                <w:sz w:val="22"/>
              </w:rPr>
              <w:t>Total Revenue (FY 2026)</w:t>
            </w:r>
          </w:p>
        </w:tc>
        <w:tc>
          <w:tcPr>
            <w:tcW w:type="dxa" w:w="1080"/>
          </w:tcPr>
          <w:p>
            <w:r>
              <w:rPr>
                <w:rFonts w:ascii="Calibri" w:hAnsi="Calibri"/>
                <w:sz w:val="22"/>
              </w:rPr>
              <w:t>$29.4B</w:t>
            </w:r>
          </w:p>
        </w:tc>
        <w:tc>
          <w:tcPr>
            <w:tcW w:type="dxa" w:w="1080"/>
          </w:tcPr>
          <w:p>
            <w:r>
              <w:rPr>
                <w:rFonts w:ascii="Calibri" w:hAnsi="Calibri"/>
                <w:sz w:val="22"/>
              </w:rPr>
              <w:t>$29.3B</w:t>
            </w:r>
          </w:p>
        </w:tc>
        <w:tc>
          <w:tcPr>
            <w:tcW w:type="dxa" w:w="1080"/>
          </w:tcPr>
          <w:p>
            <w:r>
              <w:rPr>
                <w:rFonts w:ascii="Calibri" w:hAnsi="Calibri"/>
                <w:sz w:val="22"/>
              </w:rPr>
              <w:t>-0.3%</w:t>
            </w:r>
          </w:p>
        </w:tc>
        <w:tc>
          <w:tcPr>
            <w:tcW w:type="dxa" w:w="1080"/>
          </w:tcPr>
          <w:p>
            <w:r>
              <w:rPr>
                <w:rFonts w:ascii="Calibri" w:hAnsi="Calibri"/>
                <w:sz w:val="22"/>
              </w:rPr>
              <w:t>High single digits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guidance</w:t>
            </w:r>
          </w:p>
        </w:tc>
      </w:tr>
      <w:tr>
        <w:tc>
          <w:tcPr>
            <w:tcW w:type="dxa" w:w="1080"/>
          </w:tcPr>
          <w:p>
            <w:r>
              <w:rPr>
                <w:rFonts w:ascii="Calibri" w:hAnsi="Calibri"/>
                <w:sz w:val="22"/>
              </w:rPr>
              <w:t>Adj. EPS (FY 2026)</w:t>
            </w:r>
          </w:p>
        </w:tc>
        <w:tc>
          <w:tcPr>
            <w:tcW w:type="dxa" w:w="1080"/>
          </w:tcPr>
          <w:p>
            <w:r>
              <w:rPr>
                <w:rFonts w:ascii="Calibri" w:hAnsi="Calibri"/>
                <w:sz w:val="22"/>
              </w:rPr>
              <w:t>$10.42</w:t>
            </w:r>
          </w:p>
        </w:tc>
        <w:tc>
          <w:tcPr>
            <w:tcW w:type="dxa" w:w="1080"/>
          </w:tcPr>
          <w:p>
            <w:r>
              <w:rPr>
                <w:rFonts w:ascii="Calibri" w:hAnsi="Calibri"/>
                <w:sz w:val="22"/>
              </w:rPr>
              <w:t>$10.42</w:t>
            </w:r>
          </w:p>
        </w:tc>
        <w:tc>
          <w:tcPr>
            <w:tcW w:type="dxa" w:w="1080"/>
          </w:tcPr>
          <w:p>
            <w:r>
              <w:rPr>
                <w:rFonts w:ascii="Calibri" w:hAnsi="Calibri"/>
                <w:sz w:val="22"/>
              </w:rPr>
              <w:t>~0%</w:t>
            </w:r>
          </w:p>
        </w:tc>
        <w:tc>
          <w:tcPr>
            <w:tcW w:type="dxa" w:w="1080"/>
          </w:tcPr>
          <w:p>
            <w:r>
              <w:rPr>
                <w:rFonts w:ascii="Calibri" w:hAnsi="Calibri"/>
                <w:sz w:val="22"/>
              </w:rPr>
              <w:t>Low to mid-teens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Near low end of range</w:t>
            </w:r>
          </w:p>
        </w:tc>
      </w:tr>
    </w:tbl>
    <w:p>
      <w:r>
        <w:rPr>
          <w:rFonts w:ascii="Calibri" w:hAnsi="Calibri"/>
          <w:i/>
          <w:color w:val="525866"/>
          <w:sz w:val="22"/>
        </w:rPr>
        <w:t>Estimates have been remarkably stable since the Q1 print, moving less than 0.3% in any direction — the street has essentially anchored to management's guided ranges. The key risk is that the FY consensus sits near the low end of guidance, implying the market is not giving credit for H2 recovery; any positive signal on Middle East normalization could drive meaningful upward revisions to H2 and FY estimates.</w:t>
      </w:r>
    </w:p>
    <w:p>
      <w:r>
        <w:rPr>
          <w:rFonts w:ascii="Calibri" w:hAnsi="Calibri"/>
          <w:i/>
          <w:color w:val="525866"/>
          <w:sz w:val="22"/>
        </w:rPr>
        <w:t>Sources: Visible Alpha Consensus and Actuals Data (as-of date May 5, 2026 and current). Q1 2026 Earnings Call (April 28, 2026).</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 xml:space="preserve">BKNG's underperformance since the Q1 print has been driven almost entirely by </w:t>
      </w:r>
      <w:r>
        <w:rPr>
          <w:rFonts w:ascii="Calibri" w:hAnsi="Calibri"/>
          <w:b/>
          <w:color w:val="525866"/>
          <w:sz w:val="22"/>
        </w:rPr>
        <w:t>multiple compression</w:t>
      </w:r>
      <w:r>
        <w:rPr>
          <w:rFonts w:ascii="Calibri" w:hAnsi="Calibri"/>
          <w:color w:val="525866"/>
          <w:sz w:val="22"/>
        </w:rPr>
        <w:t xml:space="preserve"> (NTM EV/EBITDA contracted from ~14.8x to ~13.0x over 6 months), not estimate cuts — suggesting the stock is pricing in a risk premium for the Middle East uncertainty that could unwind quickly if Q2 results confirm the conflict impact is tracking or better than assumed.</w:t>
      </w:r>
    </w:p>
    <w:p>
      <w:r>
        <w:rPr>
          <w:rFonts w:ascii="Calibri" w:hAnsi="Calibri"/>
          <w:color w:val="525866"/>
          <w:sz w:val="22"/>
        </w:rPr>
        <w:t xml:space="preserve">Since the Q1 2026 earnings release on April 28, 2026, BKNG has traded from $173.38 to $192.71 (as of August 4, 2026), a gain of approximately </w:t>
      </w:r>
      <w:r>
        <w:rPr>
          <w:rFonts w:ascii="Calibri" w:hAnsi="Calibri"/>
          <w:b/>
          <w:color w:val="525866"/>
          <w:sz w:val="22"/>
        </w:rPr>
        <w:t>+11.2%</w:t>
      </w:r>
      <w:r>
        <w:rPr>
          <w:rFonts w:ascii="Calibri" w:hAnsi="Calibri"/>
          <w:color w:val="525866"/>
          <w:sz w:val="22"/>
        </w:rPr>
        <w:t xml:space="preserve"> — but this masks significant intra-period volatility. The stock initially sold off sharply to a low near $154 in mid-May as investors digested the guidance reduction, before recovering as hotel peers (Hilton, Marriott, Hyatt) reported strong Q2 results and raised full-year RevPAR guidance in late July. Over the same period, PEJ (Invesco Dynamic Leisure &amp; Entertainment ETF) gained approximately +10.8% and the S&amp;P 500 (SPY) gained approximately +6.5%, indicating BKNG broadly tracked its leisure peer group but lagged on a risk-adjusted basis given its higher beta to the Middle East narrative. The stock's NTM P/E of 16.7x and EV/EBITDA of 13.0x represent a </w:t>
      </w:r>
      <w:r>
        <w:rPr>
          <w:rFonts w:ascii="Calibri" w:hAnsi="Calibri"/>
          <w:b/>
          <w:color w:val="525866"/>
          <w:sz w:val="22"/>
        </w:rPr>
        <w:t>meaningful discount to its 12-month-ago multiples</w:t>
      </w:r>
      <w:r>
        <w:rPr>
          <w:rFonts w:ascii="Calibri" w:hAnsi="Calibri"/>
          <w:color w:val="525866"/>
          <w:sz w:val="22"/>
        </w:rPr>
        <w:t xml:space="preserve"> (23.2x P/E, 17.8x EV/EBITDA), with the compression driven by the Middle East overhang rather than fundamental deterioration. Key events marked on the chart: Q1 earnings (Apr 28), Barclays conference (May 5), JP Morgan TMC conference (May 20), Hilton Q2 earnings (Jul 28), Hyatt Q2 earnings (Jul 30), Marriott Q2 earnings (Aug 3).</w:t>
      </w:r>
    </w:p>
    <w:p>
      <w:r>
        <w:rPr>
          <w:rFonts w:ascii="Calibri" w:hAnsi="Calibri"/>
          <w:b/>
          <w:color w:val="525866"/>
          <w:sz w:val="22"/>
        </w:rPr>
        <w:t>Chart: BKNG vs. PEJ vs. SPY — Indexed to 100 at April 28, 2026 (Q1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BKNG (Indexed)</w:t>
            </w:r>
          </w:p>
        </w:tc>
        <w:tc>
          <w:tcPr>
            <w:tcW w:type="dxa" w:w="2160"/>
            <w:shd w:val="clear" w:color="auto" w:fill="3B4259"/>
          </w:tcPr>
          <w:p>
            <w:r>
              <w:rPr>
                <w:rFonts w:ascii="Calibri" w:hAnsi="Calibri"/>
                <w:b/>
                <w:color w:val="FFFFFF"/>
                <w:sz w:val="22"/>
              </w:rPr>
              <w:t>PEJ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28,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13, 2026 (Trough)</w:t>
            </w:r>
          </w:p>
        </w:tc>
        <w:tc>
          <w:tcPr>
            <w:tcW w:type="dxa" w:w="2160"/>
          </w:tcPr>
          <w:p>
            <w:r>
              <w:rPr>
                <w:rFonts w:ascii="Calibri" w:hAnsi="Calibri"/>
                <w:sz w:val="22"/>
              </w:rPr>
              <w:t>89.4</w:t>
            </w:r>
          </w:p>
        </w:tc>
        <w:tc>
          <w:tcPr>
            <w:tcW w:type="dxa" w:w="2160"/>
          </w:tcPr>
          <w:p>
            <w:r>
              <w:rPr>
                <w:rFonts w:ascii="Calibri" w:hAnsi="Calibri"/>
                <w:sz w:val="22"/>
              </w:rPr>
              <w:t>97.6</w:t>
            </w:r>
          </w:p>
        </w:tc>
        <w:tc>
          <w:tcPr>
            <w:tcW w:type="dxa" w:w="2160"/>
          </w:tcPr>
          <w:p>
            <w:r>
              <w:rPr>
                <w:rFonts w:ascii="Calibri" w:hAnsi="Calibri"/>
                <w:sz w:val="22"/>
              </w:rPr>
              <w:t>104.3</w:t>
            </w:r>
          </w:p>
        </w:tc>
      </w:tr>
      <w:tr>
        <w:tc>
          <w:tcPr>
            <w:tcW w:type="dxa" w:w="2160"/>
          </w:tcPr>
          <w:p>
            <w:r>
              <w:rPr>
                <w:rFonts w:ascii="Calibri" w:hAnsi="Calibri"/>
                <w:sz w:val="22"/>
              </w:rPr>
              <w:t>Jun 24, 2026 (TCOM Q1 Results)</w:t>
            </w:r>
          </w:p>
        </w:tc>
        <w:tc>
          <w:tcPr>
            <w:tcW w:type="dxa" w:w="2160"/>
          </w:tcPr>
          <w:p>
            <w:r>
              <w:rPr>
                <w:rFonts w:ascii="Calibri" w:hAnsi="Calibri"/>
                <w:sz w:val="22"/>
              </w:rPr>
              <w:t>104.5</w:t>
            </w:r>
          </w:p>
        </w:tc>
        <w:tc>
          <w:tcPr>
            <w:tcW w:type="dxa" w:w="2160"/>
          </w:tcPr>
          <w:p>
            <w:r>
              <w:rPr>
                <w:rFonts w:ascii="Calibri" w:hAnsi="Calibri"/>
                <w:sz w:val="22"/>
              </w:rPr>
              <w:t>109.5</w:t>
            </w:r>
          </w:p>
        </w:tc>
        <w:tc>
          <w:tcPr>
            <w:tcW w:type="dxa" w:w="2160"/>
          </w:tcPr>
          <w:p>
            <w:r>
              <w:rPr>
                <w:rFonts w:ascii="Calibri" w:hAnsi="Calibri"/>
                <w:sz w:val="22"/>
              </w:rPr>
              <w:t>103.0</w:t>
            </w:r>
          </w:p>
        </w:tc>
      </w:tr>
      <w:tr>
        <w:tc>
          <w:tcPr>
            <w:tcW w:type="dxa" w:w="2160"/>
          </w:tcPr>
          <w:p>
            <w:r>
              <w:rPr>
                <w:rFonts w:ascii="Calibri" w:hAnsi="Calibri"/>
                <w:sz w:val="22"/>
              </w:rPr>
              <w:t>Jul 28, 2026 (HLT Q2 Earnings)</w:t>
            </w:r>
          </w:p>
        </w:tc>
        <w:tc>
          <w:tcPr>
            <w:tcW w:type="dxa" w:w="2160"/>
          </w:tcPr>
          <w:p>
            <w:r>
              <w:rPr>
                <w:rFonts w:ascii="Calibri" w:hAnsi="Calibri"/>
                <w:sz w:val="22"/>
              </w:rPr>
              <w:t>114.9</w:t>
            </w:r>
          </w:p>
        </w:tc>
        <w:tc>
          <w:tcPr>
            <w:tcW w:type="dxa" w:w="2160"/>
          </w:tcPr>
          <w:p>
            <w:r>
              <w:rPr>
                <w:rFonts w:ascii="Calibri" w:hAnsi="Calibri"/>
                <w:sz w:val="22"/>
              </w:rPr>
              <w:t>112.4</w:t>
            </w:r>
          </w:p>
        </w:tc>
        <w:tc>
          <w:tcPr>
            <w:tcW w:type="dxa" w:w="2160"/>
          </w:tcPr>
          <w:p>
            <w:r>
              <w:rPr>
                <w:rFonts w:ascii="Calibri" w:hAnsi="Calibri"/>
                <w:sz w:val="22"/>
              </w:rPr>
              <w:t>104.1</w:t>
            </w:r>
          </w:p>
        </w:tc>
      </w:tr>
      <w:tr>
        <w:tc>
          <w:tcPr>
            <w:tcW w:type="dxa" w:w="2160"/>
          </w:tcPr>
          <w:p>
            <w:r>
              <w:rPr>
                <w:rFonts w:ascii="Calibri" w:hAnsi="Calibri"/>
                <w:sz w:val="22"/>
              </w:rPr>
              <w:t>Aug 4, 2026 (Current)</w:t>
            </w:r>
          </w:p>
        </w:tc>
        <w:tc>
          <w:tcPr>
            <w:tcW w:type="dxa" w:w="2160"/>
          </w:tcPr>
          <w:p>
            <w:r>
              <w:rPr>
                <w:rFonts w:ascii="Calibri" w:hAnsi="Calibri"/>
                <w:sz w:val="22"/>
              </w:rPr>
              <w:t>111.2</w:t>
            </w:r>
          </w:p>
        </w:tc>
        <w:tc>
          <w:tcPr>
            <w:tcW w:type="dxa" w:w="2160"/>
          </w:tcPr>
          <w:p>
            <w:r>
              <w:rPr>
                <w:rFonts w:ascii="Calibri" w:hAnsi="Calibri"/>
                <w:sz w:val="22"/>
              </w:rPr>
              <w:t>110.8</w:t>
            </w:r>
          </w:p>
        </w:tc>
        <w:tc>
          <w:tcPr>
            <w:tcW w:type="dxa" w:w="2160"/>
          </w:tcPr>
          <w:p>
            <w:r>
              <w:rPr>
                <w:rFonts w:ascii="Calibri" w:hAnsi="Calibri"/>
                <w:sz w:val="22"/>
              </w:rPr>
              <w:t>106.5</w:t>
            </w:r>
          </w:p>
        </w:tc>
      </w:tr>
    </w:tbl>
    <w:p>
      <w:r>
        <w:rPr>
          <w:rFonts w:ascii="Calibri" w:hAnsi="Calibri"/>
          <w:i/>
          <w:color w:val="525866"/>
          <w:sz w:val="22"/>
        </w:rPr>
        <w:t>Note: Indexed values calculated from raw close prices (BKNG base: $173.38; PEJ base: $60.34; SPY base: $711.69). Source: Stock Price Data (Yahoo Finance).</w:t>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post-Q1 development is the </w:t>
      </w:r>
      <w:r>
        <w:rPr>
          <w:rFonts w:ascii="Calibri" w:hAnsi="Calibri"/>
          <w:b/>
          <w:color w:val="525866"/>
          <w:sz w:val="22"/>
        </w:rPr>
        <w:t>hotel peer read-through from Marriott and Hilton Q2 results</w:t>
      </w:r>
      <w:r>
        <w:rPr>
          <w:rFonts w:ascii="Calibri" w:hAnsi="Calibri"/>
          <w:color w:val="525866"/>
          <w:sz w:val="22"/>
        </w:rPr>
        <w:t xml:space="preserve"> (both reported in the last week), which confirm the Middle East impact was better than feared and global leisure demand remains robust — a constructive setup for BKNG's Q2 print.</w:t>
      </w:r>
    </w:p>
    <w:p>
      <w:pPr>
        <w:pStyle w:val="ListBullet"/>
        <w:ind w:left="360" w:hanging="360"/>
      </w:pPr>
      <w:r>
        <w:rPr>
          <w:rFonts w:ascii="Calibri" w:hAnsi="Calibri"/>
          <w:b/>
          <w:color w:val="525866"/>
          <w:sz w:val="22"/>
        </w:rPr>
        <w:t>Aug 3, 2026 — Marriott (MAR) Q2 2026 Earnings Beat; Raises Full-Year RevPAR Guidance.</w:t>
      </w:r>
      <w:r>
        <w:rPr>
          <w:rFonts w:ascii="Calibri" w:hAnsi="Calibri"/>
          <w:color w:val="525866"/>
          <w:sz w:val="22"/>
        </w:rPr>
        <w:t xml:space="preserve"> MAR reported global RevPAR +3.4% YoY, with U.S./Canada up 5% (highest quarterly increase in 13 quarters). Middle East RevPAR declined 43% but was "better than prior expectations" on stronger domestic leisure demand. MAR raised full-year global RevPAR guidance to +3.0–3.5% and guided Q3 RevPAR +3.5–4.0%. Implication: Middle East impact tracking better than feared; strong U.S. and European leisure demand is a direct positive read-through for BKNG's Q2 room night volumes and ADRs.</w:t>
      </w:r>
    </w:p>
    <w:p>
      <w:pPr>
        <w:pStyle w:val="ListBullet"/>
        <w:ind w:left="360" w:hanging="360"/>
      </w:pPr>
      <w:r>
        <w:rPr>
          <w:rFonts w:ascii="Calibri" w:hAnsi="Calibri"/>
          <w:b/>
          <w:color w:val="525866"/>
          <w:sz w:val="22"/>
        </w:rPr>
        <w:t>Jul 28, 2026 — Hilton (HLT) Q2 2026 Earnings; Raises Full-Year RevPAR Guidance.</w:t>
      </w:r>
      <w:r>
        <w:rPr>
          <w:rFonts w:ascii="Calibri" w:hAnsi="Calibri"/>
          <w:color w:val="525866"/>
          <w:sz w:val="22"/>
        </w:rPr>
        <w:t xml:space="preserve"> HLT reported system-wide RevPAR +3.9% YoY, with U.S. comparable RevPAR +5.4%. Middle East/Africa RevPAR declined ~30% but was "better than prior expectations." HLT raised full-year RevPAR guidance to +3.0–3.5% and guided Q3 RevPAR ~+4%. Noted meaningful midweek SMB business transient recovery and "C-shape economy" turnaround in midscale/upper-midscale segments. Implication: Broad-based demand recovery across chain scales and geographies is positive for BKNG's volume and pricing; Middle East headwind is easing.</w:t>
      </w:r>
    </w:p>
    <w:p>
      <w:pPr>
        <w:pStyle w:val="ListBullet"/>
        <w:ind w:left="360" w:hanging="360"/>
      </w:pPr>
      <w:r>
        <w:rPr>
          <w:rFonts w:ascii="Calibri" w:hAnsi="Calibri"/>
          <w:b/>
          <w:color w:val="525866"/>
          <w:sz w:val="22"/>
        </w:rPr>
        <w:t>Jul 30, 2026 — Hyatt (H) Q2 2026 Earnings; Raises Full-Year RevPAR Guidance.</w:t>
      </w:r>
      <w:r>
        <w:rPr>
          <w:rFonts w:ascii="Calibri" w:hAnsi="Calibri"/>
          <w:color w:val="525866"/>
          <w:sz w:val="22"/>
        </w:rPr>
        <w:t xml:space="preserve"> H reported system-wide RevPAR +5.9% YoY, exceeding expectations. International RevPAR +7.5% excluding Middle East. Greater China RevPAR +7.2% with luxury properties up 11%; inbound traffic from U.S. up 18% and from Europe up 24%. H raised full-year RevPAR guidance to +3.5–4.5%. Implication: Strong Asia-Pacific and Greater China demand is a positive read-through for BKNG's Agoda platform and international bookings.</w:t>
      </w:r>
    </w:p>
    <w:p>
      <w:pPr>
        <w:pStyle w:val="ListBullet"/>
        <w:ind w:left="360" w:hanging="360"/>
      </w:pPr>
      <w:r>
        <w:rPr>
          <w:rFonts w:ascii="Calibri" w:hAnsi="Calibri"/>
          <w:b/>
          <w:color w:val="525866"/>
          <w:sz w:val="22"/>
        </w:rPr>
        <w:t>Jul 27, 2026 — Trip.com (TCOM) Hit With $781M China Antitrust Penalty.</w:t>
      </w:r>
      <w:r>
        <w:rPr>
          <w:rFonts w:ascii="Calibri" w:hAnsi="Calibri"/>
          <w:color w:val="525866"/>
          <w:sz w:val="22"/>
        </w:rPr>
        <w:t xml:space="preserve"> Chinese regulators fined TCOM CNY 5.18B (~$781M) for abusing market dominance through traffic allocation mechanisms and restricting hotel operators' cross-platform pricing. Implication: Regulatory headwind for BKNG's primary Asia competitor; could create near-term disruption in TCOM's China operations and potentially benefit Agoda's competitive positioning in the region.</w:t>
      </w:r>
    </w:p>
    <w:p>
      <w:pPr>
        <w:pStyle w:val="ListBullet"/>
        <w:ind w:left="360" w:hanging="360"/>
      </w:pPr>
      <w:r>
        <w:rPr>
          <w:rFonts w:ascii="Calibri" w:hAnsi="Calibri"/>
          <w:b/>
          <w:color w:val="525866"/>
          <w:sz w:val="22"/>
        </w:rPr>
        <w:t>Aug 3, 2026 — Tripadvisor (TRIP) Finalizes $700M Sale of TheFork to American Express.</w:t>
      </w:r>
      <w:r>
        <w:rPr>
          <w:rFonts w:ascii="Calibri" w:hAnsi="Calibri"/>
          <w:color w:val="525866"/>
          <w:sz w:val="22"/>
        </w:rPr>
        <w:t xml:space="preserve"> TRIP completed the divestiture of its restaurant booking platform TheFork to American Express for $700M. Implication: Modest read-through — TRIP is simplifying its portfolio, which may intensify focus on its core hotel/travel review business; limited direct impact on BKNG.</w:t>
      </w:r>
    </w:p>
    <w:p>
      <w:pPr>
        <w:pStyle w:val="ListBullet"/>
        <w:ind w:left="360" w:hanging="360"/>
      </w:pPr>
      <w:r>
        <w:rPr>
          <w:rFonts w:ascii="Calibri" w:hAnsi="Calibri"/>
          <w:b/>
          <w:color w:val="525866"/>
          <w:sz w:val="22"/>
        </w:rPr>
        <w:t>May 5, 2026 — Barclays Americas Select Conference: CFO Discloses $100M Discretionary Spend Pullback.</w:t>
      </w:r>
      <w:r>
        <w:rPr>
          <w:rFonts w:ascii="Calibri" w:hAnsi="Calibri"/>
          <w:color w:val="525866"/>
          <w:sz w:val="22"/>
        </w:rPr>
        <w:t xml:space="preserve"> CFO Ewout Steenbergen disclosed that BKNG is pulling back on approximately $100M of discretionary spend in 2026 in response to the Middle East situation, providing additional EBITDA cushion beyond the guided 0–25 bps margin expansion. Leverage stood at 1.8x at Q1 end vs. ~2x through-the-cycle target; company was in the bond market at time of conference. Implication: EBITDA beat potential is higher than the headline guidance range implies.</w:t>
      </w:r>
    </w:p>
    <w:p>
      <w:pPr>
        <w:pStyle w:val="ListBullet"/>
        <w:ind w:left="360" w:hanging="360"/>
      </w:pPr>
      <w:r>
        <w:rPr>
          <w:rFonts w:ascii="Calibri" w:hAnsi="Calibri"/>
          <w:b/>
          <w:color w:val="525866"/>
          <w:sz w:val="22"/>
        </w:rPr>
        <w:t>May 20, 2026 — JP Morgan TMC Conference: CEO Reaffirms Long-Term Investment Posture.</w:t>
      </w:r>
      <w:r>
        <w:rPr>
          <w:rFonts w:ascii="Calibri" w:hAnsi="Calibri"/>
          <w:color w:val="525866"/>
          <w:sz w:val="22"/>
        </w:rPr>
        <w:t xml:space="preserve"> CEO Glenn Fogel reiterated the company will not reduce strategic investment spend in response to near-term geopolitical headwinds, citing the highly variable cost structure as a natural buffer. Disclosed that Booking.com may now be the largest third-party flight seller globally (ex-Ctrip domestic). Implication: Management is protecting long-term growth investments while using variable marketing spend as a natural hedge — consistent with prior messaging.</w:t>
      </w:r>
    </w:p>
    <w:p>
      <w:pPr>
        <w:pStyle w:val="ListBullet"/>
        <w:ind w:left="360" w:hanging="360"/>
      </w:pPr>
      <w:r>
        <w:rPr>
          <w:rFonts w:ascii="Calibri" w:hAnsi="Calibri"/>
          <w:b/>
          <w:color w:val="525866"/>
          <w:sz w:val="22"/>
        </w:rPr>
        <w:t>Jun 24, 2026 — Trip.com (TCOM) Q1 2026 Results; Guides Q2 Revenue Growth +3–8% YoY.</w:t>
      </w:r>
      <w:r>
        <w:rPr>
          <w:rFonts w:ascii="Calibri" w:hAnsi="Calibri"/>
          <w:color w:val="525866"/>
          <w:sz w:val="22"/>
        </w:rPr>
        <w:t xml:space="preserve"> TCOM reported Q1 results and guided Q2 revenue growth to decelerate to +3–8% YoY, citing macro headwinds including elevated energy pricing and geopolitical volatility. Inbound travel momentum cited as a positive offset. Implication: Confirms macro headwinds are real but international travel demand remains resilient — mixed read-through for BKNG.</w:t>
      </w:r>
    </w:p>
    <w:p>
      <w:r>
        <w:br w:type="page"/>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All recent insider transactions are pre-planned 10b5-1 sales — no discretionary open-market selling or buying; the activity is routine and does not signal any incremental bearish or bullish conviction from insiders ahead of the print.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Est.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Robert J. Mylod Jr.</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5,000</w:t>
            </w:r>
          </w:p>
        </w:tc>
        <w:tc>
          <w:tcPr>
            <w:tcW w:type="dxa" w:w="1234"/>
          </w:tcPr>
          <w:p>
            <w:r>
              <w:rPr>
                <w:rFonts w:ascii="Calibri" w:hAnsi="Calibri"/>
                <w:sz w:val="22"/>
              </w:rPr>
              <w:t>~$1.0M</w:t>
            </w:r>
          </w:p>
        </w:tc>
        <w:tc>
          <w:tcPr>
            <w:tcW w:type="dxa" w:w="1234"/>
          </w:tcPr>
          <w:p>
            <w:r>
              <w:rPr>
                <w:rFonts w:ascii="Calibri" w:hAnsi="Calibri"/>
                <w:sz w:val="22"/>
              </w:rPr>
              <w:t>Jul 29, 2026</w:t>
            </w:r>
          </w:p>
        </w:tc>
        <w:tc>
          <w:tcPr>
            <w:tcW w:type="dxa" w:w="1234"/>
          </w:tcPr>
          <w:p>
            <w:r>
              <w:rPr>
                <w:rFonts w:ascii="Calibri" w:hAnsi="Calibri"/>
                <w:sz w:val="22"/>
              </w:rPr>
              <w:t>Pre-planned; sold via Annox Capital LLC (indirect). Form 144 filed Jul 29 for $1M intended sale.</w:t>
            </w:r>
          </w:p>
        </w:tc>
      </w:tr>
      <w:tr>
        <w:tc>
          <w:tcPr>
            <w:tcW w:type="dxa" w:w="1234"/>
          </w:tcPr>
          <w:p>
            <w:r>
              <w:rPr>
                <w:rFonts w:ascii="Calibri" w:hAnsi="Calibri"/>
                <w:sz w:val="22"/>
              </w:rPr>
              <w:t>Vanessa Ames Wittman</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1,125</w:t>
            </w:r>
          </w:p>
        </w:tc>
        <w:tc>
          <w:tcPr>
            <w:tcW w:type="dxa" w:w="1234"/>
          </w:tcPr>
          <w:p>
            <w:r>
              <w:rPr>
                <w:rFonts w:ascii="Calibri" w:hAnsi="Calibri"/>
                <w:sz w:val="22"/>
              </w:rPr>
              <w:t>~$216K</w:t>
            </w:r>
          </w:p>
        </w:tc>
        <w:tc>
          <w:tcPr>
            <w:tcW w:type="dxa" w:w="1234"/>
          </w:tcPr>
          <w:p>
            <w:r>
              <w:rPr>
                <w:rFonts w:ascii="Calibri" w:hAnsi="Calibri"/>
                <w:sz w:val="22"/>
              </w:rPr>
              <w:t>Jul 28, 2026</w:t>
            </w:r>
          </w:p>
        </w:tc>
        <w:tc>
          <w:tcPr>
            <w:tcW w:type="dxa" w:w="1234"/>
          </w:tcPr>
          <w:p>
            <w:r>
              <w:rPr>
                <w:rFonts w:ascii="Calibri" w:hAnsi="Calibri"/>
                <w:sz w:val="22"/>
              </w:rPr>
              <w:t>Pre-planned (10b5-1 plan initiated Jun 2, 2025); 6% of holdings. Routine scheduled sale.</w:t>
            </w:r>
          </w:p>
        </w:tc>
      </w:tr>
      <w:tr>
        <w:tc>
          <w:tcPr>
            <w:tcW w:type="dxa" w:w="1234"/>
          </w:tcPr>
          <w:p>
            <w:r>
              <w:rPr>
                <w:rFonts w:ascii="Calibri" w:hAnsi="Calibri"/>
                <w:sz w:val="22"/>
              </w:rPr>
              <w:t>Peter J. Millones</w:t>
            </w:r>
          </w:p>
        </w:tc>
        <w:tc>
          <w:tcPr>
            <w:tcW w:type="dxa" w:w="1234"/>
          </w:tcPr>
          <w:p>
            <w:r>
              <w:rPr>
                <w:rFonts w:ascii="Calibri" w:hAnsi="Calibri"/>
                <w:sz w:val="22"/>
              </w:rPr>
              <w:t>EVP, General Counsel</w:t>
            </w:r>
          </w:p>
        </w:tc>
        <w:tc>
          <w:tcPr>
            <w:tcW w:type="dxa" w:w="1234"/>
          </w:tcPr>
          <w:p>
            <w:r>
              <w:rPr>
                <w:rFonts w:ascii="Calibri" w:hAnsi="Calibri"/>
                <w:sz w:val="22"/>
              </w:rPr>
              <w:t>10b5-1 Planned Sale</w:t>
            </w:r>
          </w:p>
        </w:tc>
        <w:tc>
          <w:tcPr>
            <w:tcW w:type="dxa" w:w="1234"/>
          </w:tcPr>
          <w:p>
            <w:r>
              <w:rPr>
                <w:rFonts w:ascii="Calibri" w:hAnsi="Calibri"/>
                <w:sz w:val="22"/>
              </w:rPr>
              <w:t>62,500</w:t>
            </w:r>
          </w:p>
        </w:tc>
        <w:tc>
          <w:tcPr>
            <w:tcW w:type="dxa" w:w="1234"/>
          </w:tcPr>
          <w:p>
            <w:r>
              <w:rPr>
                <w:rFonts w:ascii="Calibri" w:hAnsi="Calibri"/>
                <w:sz w:val="22"/>
              </w:rPr>
              <w:t>~$9.8M (est.)</w:t>
            </w:r>
          </w:p>
        </w:tc>
        <w:tc>
          <w:tcPr>
            <w:tcW w:type="dxa" w:w="1234"/>
          </w:tcPr>
          <w:p>
            <w:r>
              <w:rPr>
                <w:rFonts w:ascii="Calibri" w:hAnsi="Calibri"/>
                <w:sz w:val="22"/>
              </w:rPr>
              <w:t>May 26, 2026</w:t>
            </w:r>
          </w:p>
        </w:tc>
        <w:tc>
          <w:tcPr>
            <w:tcW w:type="dxa" w:w="1234"/>
          </w:tcPr>
          <w:p>
            <w:r>
              <w:rPr>
                <w:rFonts w:ascii="Calibri" w:hAnsi="Calibri"/>
                <w:sz w:val="22"/>
              </w:rPr>
              <w:t>Pre-planned; largest transaction in the period by share count but routine for an EVP-level 10b5-1 plan.</w:t>
            </w:r>
          </w:p>
        </w:tc>
      </w:tr>
    </w:tbl>
    <w:p>
      <w:r>
        <w:rPr>
          <w:rFonts w:ascii="Calibri" w:hAnsi="Calibri"/>
          <w:i/>
          <w:color w:val="525866"/>
          <w:sz w:val="22"/>
        </w:rPr>
        <w:t>No open-market purchases or discretionary sales were identified in the period since the Q1 earnings release. All transactions are 10b5-1 pre-planned sales, which are obligation-driven and carry no informational signal about management's near-term view on the stock. Source: SEC Form 4 Filings / Insider Transaction Data.</w:t>
      </w:r>
    </w:p>
    <w:p>
      <w:r>
        <w:br w:type="page"/>
      </w:r>
    </w:p>
    <w:p>
      <w:pPr>
        <w:pStyle w:val="Heading2"/>
      </w:pPr>
      <w:r>
        <w:rPr>
          <w:rFonts w:ascii="Calibri" w:hAnsi="Calibri"/>
          <w:b/>
          <w:color w:val="3B4259"/>
          <w:sz w:val="28"/>
        </w:rPr>
        <w:t>Peer Commentary &amp; Read-Through (June 4 – August 3, 2026)</w:t>
      </w:r>
    </w:p>
    <w:p>
      <w:r>
        <w:rPr>
          <w:rFonts w:ascii="Calibri" w:hAnsi="Calibri"/>
          <w:b/>
          <w:color w:val="525866"/>
          <w:sz w:val="22"/>
        </w:rPr>
        <w:t xml:space="preserve">Key Takeaway: </w:t>
      </w:r>
      <w:r>
        <w:rPr>
          <w:rFonts w:ascii="Calibri" w:hAnsi="Calibri"/>
          <w:color w:val="525866"/>
          <w:sz w:val="22"/>
        </w:rPr>
        <w:t xml:space="preserve">Hotel peers reporting Q2 2026 results in the last week of July and early August collectively signal that </w:t>
      </w:r>
      <w:r>
        <w:rPr>
          <w:rFonts w:ascii="Calibri" w:hAnsi="Calibri"/>
          <w:b/>
          <w:color w:val="525866"/>
          <w:sz w:val="22"/>
        </w:rPr>
        <w:t>the Middle East headwind is tracking better than feared</w:t>
      </w:r>
      <w:r>
        <w:rPr>
          <w:rFonts w:ascii="Calibri" w:hAnsi="Calibri"/>
          <w:color w:val="525866"/>
          <w:sz w:val="22"/>
        </w:rPr>
        <w:t>, global leisure demand (especially luxury and U.S.) remains robust, and Asia-Pacific is accelerating — all constructive read-throughs for BKNG's Q2 room night volumes, ADRs, and H2 recovery assumptions. The TCOM antitrust fine is a secondary positive for BKNG's competitive positioning in Asia.</w:t>
      </w:r>
    </w:p>
    <w:p>
      <w:pPr>
        <w:pStyle w:val="Heading3"/>
      </w:pPr>
      <w:r>
        <w:rPr>
          <w:rFonts w:ascii="Calibri" w:hAnsi="Calibri"/>
          <w:b/>
          <w:color w:val="3B4259"/>
          <w:sz w:val="24"/>
        </w:rPr>
        <w:t>Marriott International (MAR) — Q2 2026 Earnings Call, August 3, 2026</w:t>
      </w:r>
    </w:p>
    <w:p>
      <w:r>
        <w:rPr>
          <w:rFonts w:ascii="Calibri" w:hAnsi="Calibri"/>
          <w:b/>
          <w:color w:val="525866"/>
          <w:sz w:val="22"/>
        </w:rPr>
        <w:t xml:space="preserve">Relevance: </w:t>
      </w:r>
      <w:r>
        <w:rPr>
          <w:rFonts w:ascii="Calibri" w:hAnsi="Calibri"/>
          <w:color w:val="525866"/>
          <w:sz w:val="22"/>
        </w:rPr>
        <w:t>Directly addresses Q2 2026 demand environment and raises full-year guidance — highest-quality read-through for BKNG's Q2 room night and ADR performance.</w:t>
      </w:r>
    </w:p>
    <w:p>
      <w:pPr>
        <w:pStyle w:val="ListBullet"/>
        <w:ind w:left="360" w:hanging="360"/>
      </w:pPr>
      <w:r>
        <w:rPr>
          <w:rFonts w:ascii="Calibri" w:hAnsi="Calibri"/>
          <w:color w:val="525866"/>
          <w:sz w:val="22"/>
        </w:rPr>
        <w:t>Global RevPAR +3.4% YoY in Q2; U.S./Canada +5% — the highest quarterly increase in 13 quarters, with strength "pervasive across chain scales."</w:t>
      </w:r>
    </w:p>
    <w:p>
      <w:pPr>
        <w:pStyle w:val="ListBullet"/>
        <w:ind w:left="360" w:hanging="360"/>
      </w:pPr>
      <w:r>
        <w:rPr>
          <w:rFonts w:ascii="Calibri" w:hAnsi="Calibri"/>
          <w:color w:val="525866"/>
          <w:sz w:val="22"/>
        </w:rPr>
        <w:t>Middle East RevPAR declined 43% in Q2 but was "</w:t>
      </w:r>
      <w:r>
        <w:rPr>
          <w:rFonts w:ascii="Calibri" w:hAnsi="Calibri"/>
          <w:i/>
          <w:color w:val="525866"/>
          <w:sz w:val="22"/>
        </w:rPr>
        <w:t>a bit better than prior expectations</w:t>
      </w:r>
      <w:r>
        <w:rPr>
          <w:rFonts w:ascii="Calibri" w:hAnsi="Calibri"/>
          <w:color w:val="525866"/>
          <w:sz w:val="22"/>
        </w:rPr>
        <w:t xml:space="preserve"> on better than expected domestic leisure demand." Full-year Middle East impact now estimated at ~100 bps on global RevPAR, improved from prior guidance of 100–125 bps.</w:t>
      </w:r>
    </w:p>
    <w:p>
      <w:pPr>
        <w:pStyle w:val="ListBullet"/>
        <w:ind w:left="360" w:hanging="360"/>
      </w:pPr>
      <w:r>
        <w:rPr>
          <w:rFonts w:ascii="Calibri" w:hAnsi="Calibri"/>
          <w:color w:val="525866"/>
          <w:sz w:val="22"/>
        </w:rPr>
        <w:t>Europe RevPAR +4% in Q2, driven by leisure in Mediterranean countries (Italy, Spain, Greece). APAC RevPAR +5%, with Greater China +3% on strong inbound leisure recovery.</w:t>
      </w:r>
    </w:p>
    <w:p>
      <w:pPr>
        <w:pStyle w:val="ListBullet"/>
        <w:ind w:left="360" w:hanging="360"/>
      </w:pPr>
      <w:r>
        <w:rPr>
          <w:rFonts w:ascii="Calibri" w:hAnsi="Calibri"/>
          <w:color w:val="525866"/>
          <w:sz w:val="22"/>
        </w:rPr>
        <w:t>Leisure revenues +5% globally and +7% in U.S./Canada in Q2; leisure expected to lead all segments for full year.</w:t>
      </w:r>
    </w:p>
    <w:p>
      <w:pPr>
        <w:pStyle w:val="ListBullet"/>
        <w:ind w:left="360" w:hanging="360"/>
      </w:pPr>
      <w:r>
        <w:rPr>
          <w:rFonts w:ascii="Calibri" w:hAnsi="Calibri"/>
          <w:color w:val="525866"/>
          <w:sz w:val="22"/>
        </w:rPr>
        <w:t>Full-year global RevPAR guidance raised to +3.0–3.5%; Q3 RevPAR guided +3.5–4.0%. Management "quite bullish" on 2027 global outlook.</w:t>
      </w:r>
    </w:p>
    <w:p>
      <w:pPr>
        <w:pStyle w:val="ListBullet"/>
        <w:ind w:left="360" w:hanging="360"/>
      </w:pPr>
      <w:r>
        <w:rPr>
          <w:rFonts w:ascii="Calibri" w:hAnsi="Calibri"/>
          <w:b/>
          <w:color w:val="525866"/>
          <w:sz w:val="22"/>
        </w:rPr>
        <w:t xml:space="preserve">BKNG Read-Through: </w:t>
      </w:r>
      <w:r>
        <w:rPr>
          <w:rFonts w:ascii="Calibri" w:hAnsi="Calibri"/>
          <w:color w:val="525866"/>
          <w:sz w:val="22"/>
        </w:rPr>
        <w:t>Better-than-expected Middle East performance and strong U.S./European leisure demand directly supports BKNG's Q2 room night and gross bookings guidance range. The raised H2 outlook is consistent with BKNG's assumption of a Middle East recovery beginning in July. Strong Mediterranean leisure demand is particularly relevant given BKNG's dominant European market position.</w:t>
      </w:r>
    </w:p>
    <w:p>
      <w:pPr>
        <w:pStyle w:val="Heading3"/>
      </w:pPr>
      <w:r>
        <w:rPr>
          <w:rFonts w:ascii="Calibri" w:hAnsi="Calibri"/>
          <w:b/>
          <w:color w:val="3B4259"/>
          <w:sz w:val="24"/>
        </w:rPr>
        <w:t>Hilton Worldwide (HLT) — Q2 2026 Earnings Call, July 28, 2026</w:t>
      </w:r>
    </w:p>
    <w:p>
      <w:r>
        <w:rPr>
          <w:rFonts w:ascii="Calibri" w:hAnsi="Calibri"/>
          <w:b/>
          <w:color w:val="525866"/>
          <w:sz w:val="22"/>
        </w:rPr>
        <w:t xml:space="preserve">Relevance: </w:t>
      </w:r>
      <w:r>
        <w:rPr>
          <w:rFonts w:ascii="Calibri" w:hAnsi="Calibri"/>
          <w:color w:val="525866"/>
          <w:sz w:val="22"/>
        </w:rPr>
        <w:t>Reported one week before BKNG; provides the most timely read on Q2 demand trends and forward booking pace.</w:t>
      </w:r>
    </w:p>
    <w:p>
      <w:pPr>
        <w:pStyle w:val="ListBullet"/>
        <w:ind w:left="360" w:hanging="360"/>
      </w:pPr>
      <w:r>
        <w:rPr>
          <w:rFonts w:ascii="Calibri" w:hAnsi="Calibri"/>
          <w:color w:val="525866"/>
          <w:sz w:val="22"/>
        </w:rPr>
        <w:t>System-wide RevPAR +3.9% YoY in Q2; U.S. comparable RevPAR +5.4%, driven by strong demand across all segments and World Cup tailwind.</w:t>
      </w:r>
    </w:p>
    <w:p>
      <w:pPr>
        <w:pStyle w:val="ListBullet"/>
        <w:ind w:left="360" w:hanging="360"/>
      </w:pPr>
      <w:r>
        <w:rPr>
          <w:rFonts w:ascii="Calibri" w:hAnsi="Calibri"/>
          <w:color w:val="525866"/>
          <w:sz w:val="22"/>
        </w:rPr>
        <w:t>Middle East/Africa RevPAR declined ~30% YoY but was "</w:t>
      </w:r>
      <w:r>
        <w:rPr>
          <w:rFonts w:ascii="Calibri" w:hAnsi="Calibri"/>
          <w:i/>
          <w:color w:val="525866"/>
          <w:sz w:val="22"/>
        </w:rPr>
        <w:t>better than prior expectations</w:t>
      </w:r>
      <w:r>
        <w:rPr>
          <w:rFonts w:ascii="Calibri" w:hAnsi="Calibri"/>
          <w:color w:val="525866"/>
          <w:sz w:val="22"/>
        </w:rPr>
        <w:t>"; uncertainty in recovery remains. Middle East estimated to cost Hilton ~0.5pp of full-year growth.</w:t>
      </w:r>
    </w:p>
    <w:p>
      <w:pPr>
        <w:pStyle w:val="ListBullet"/>
        <w:ind w:left="360" w:hanging="360"/>
      </w:pPr>
      <w:r>
        <w:rPr>
          <w:rFonts w:ascii="Calibri" w:hAnsi="Calibri"/>
          <w:color w:val="525866"/>
          <w:sz w:val="22"/>
        </w:rPr>
        <w:t>Significant midweek SMB business transient recovery: SMB growth in business transient ~7%+, "significantly outstripping" large corporate growth. Midscale/upper-midscale RevPAR turned from negative last year to +4–6% — the "C-shape economy" broadening.</w:t>
      </w:r>
    </w:p>
    <w:p>
      <w:pPr>
        <w:pStyle w:val="ListBullet"/>
        <w:ind w:left="360" w:hanging="360"/>
      </w:pPr>
      <w:r>
        <w:rPr>
          <w:rFonts w:ascii="Calibri" w:hAnsi="Calibri"/>
          <w:color w:val="525866"/>
          <w:sz w:val="22"/>
        </w:rPr>
        <w:t>Europe RevPAR +4.3%; APAC ex-China +6.3%; China RevPAR -2.2% on government restrictions on group travel.</w:t>
      </w:r>
    </w:p>
    <w:p>
      <w:pPr>
        <w:pStyle w:val="ListBullet"/>
        <w:ind w:left="360" w:hanging="360"/>
      </w:pPr>
      <w:r>
        <w:rPr>
          <w:rFonts w:ascii="Calibri" w:hAnsi="Calibri"/>
          <w:color w:val="525866"/>
          <w:sz w:val="22"/>
        </w:rPr>
        <w:t>Full-year RevPAR guidance raised to +3.0–3.5%; Q3 RevPAR guided ~+4%. "Strong demand trends extended into July across chain scales and customer segments."</w:t>
      </w:r>
    </w:p>
    <w:p>
      <w:pPr>
        <w:pStyle w:val="ListBullet"/>
        <w:ind w:left="360" w:hanging="360"/>
      </w:pPr>
      <w:r>
        <w:rPr>
          <w:rFonts w:ascii="Calibri" w:hAnsi="Calibri"/>
          <w:b/>
          <w:color w:val="525866"/>
          <w:sz w:val="22"/>
        </w:rPr>
        <w:t xml:space="preserve">BKNG Read-Through: </w:t>
      </w:r>
      <w:r>
        <w:rPr>
          <w:rFonts w:ascii="Calibri" w:hAnsi="Calibri"/>
          <w:color w:val="525866"/>
          <w:sz w:val="22"/>
        </w:rPr>
        <w:t>The broadening of demand recovery across chain scales (including midscale) is positive for BKNG's volume mix. The "strong demand trends extended into July" comment is particularly relevant as it provides a real-time signal on early Q3 booking momentum, which is critical for BKNG's H2 recovery assumption. China weakness on government restrictions is a modest negative for Agoda.</w:t>
      </w:r>
    </w:p>
    <w:p>
      <w:pPr>
        <w:pStyle w:val="Heading3"/>
      </w:pPr>
      <w:r>
        <w:rPr>
          <w:rFonts w:ascii="Calibri" w:hAnsi="Calibri"/>
          <w:b/>
          <w:color w:val="3B4259"/>
          <w:sz w:val="24"/>
        </w:rPr>
        <w:t>Hyatt Hotels (H) — Q2 2026 Earnings Call, July 30, 2026</w:t>
      </w:r>
    </w:p>
    <w:p>
      <w:r>
        <w:rPr>
          <w:rFonts w:ascii="Calibri" w:hAnsi="Calibri"/>
          <w:b/>
          <w:color w:val="525866"/>
          <w:sz w:val="22"/>
        </w:rPr>
        <w:t xml:space="preserve">Relevance: </w:t>
      </w:r>
      <w:r>
        <w:rPr>
          <w:rFonts w:ascii="Calibri" w:hAnsi="Calibri"/>
          <w:color w:val="525866"/>
          <w:sz w:val="22"/>
        </w:rPr>
        <w:t>Hyatt's luxury-skewed portfolio and strong Asia-Pacific exposure make it a particularly relevant read-through for BKNG's premium accommodation and Agoda segments.</w:t>
      </w:r>
    </w:p>
    <w:p>
      <w:pPr>
        <w:pStyle w:val="ListBullet"/>
        <w:ind w:left="360" w:hanging="360"/>
      </w:pPr>
      <w:r>
        <w:rPr>
          <w:rFonts w:ascii="Calibri" w:hAnsi="Calibri"/>
          <w:color w:val="525866"/>
          <w:sz w:val="22"/>
        </w:rPr>
        <w:t>System-wide RevPAR +5.9% YoY in Q2, exceeding expectations. Leisure transient RevPAR +7%, led by luxury brands.</w:t>
      </w:r>
    </w:p>
    <w:p>
      <w:pPr>
        <w:pStyle w:val="ListBullet"/>
        <w:ind w:left="360" w:hanging="360"/>
      </w:pPr>
      <w:r>
        <w:rPr>
          <w:rFonts w:ascii="Calibri" w:hAnsi="Calibri"/>
          <w:color w:val="525866"/>
          <w:sz w:val="22"/>
        </w:rPr>
        <w:t>International RevPAR +7.5% excluding Middle East. Greater China RevPAR +7.2%, with luxury properties up 11%; inbound traffic from U.S. +18% and from Europe +24%.</w:t>
      </w:r>
    </w:p>
    <w:p>
      <w:pPr>
        <w:pStyle w:val="ListBullet"/>
        <w:ind w:left="360" w:hanging="360"/>
      </w:pPr>
      <w:r>
        <w:rPr>
          <w:rFonts w:ascii="Calibri" w:hAnsi="Calibri"/>
          <w:color w:val="525866"/>
          <w:sz w:val="22"/>
        </w:rPr>
        <w:t>Asia Pacific ex-China RevPAR +10%+, reflecting strong inbound travel and demand. Americas ex-U.S. RevPAR +9.5%.</w:t>
      </w:r>
    </w:p>
    <w:p>
      <w:pPr>
        <w:pStyle w:val="ListBullet"/>
        <w:ind w:left="360" w:hanging="360"/>
      </w:pPr>
      <w:r>
        <w:rPr>
          <w:rFonts w:ascii="Calibri" w:hAnsi="Calibri"/>
          <w:color w:val="525866"/>
          <w:sz w:val="22"/>
        </w:rPr>
        <w:t>Middle East RevPAR -36% YoY; estimated ~$10M full-year fee impact.</w:t>
      </w:r>
    </w:p>
    <w:p>
      <w:pPr>
        <w:pStyle w:val="ListBullet"/>
        <w:ind w:left="360" w:hanging="360"/>
      </w:pPr>
      <w:r>
        <w:rPr>
          <w:rFonts w:ascii="Calibri" w:hAnsi="Calibri"/>
          <w:color w:val="525866"/>
          <w:sz w:val="22"/>
        </w:rPr>
        <w:t>Full-year RevPAR guidance raised to +3.5–4.5% (highest among hotel peers). Forward booking trends "remain strong for the balance of 2026"; U.S. full-service group pace up mid-single digits for remainder of year.</w:t>
      </w:r>
    </w:p>
    <w:p>
      <w:pPr>
        <w:pStyle w:val="ListBullet"/>
        <w:ind w:left="360" w:hanging="360"/>
      </w:pPr>
      <w:r>
        <w:rPr>
          <w:rFonts w:ascii="Calibri" w:hAnsi="Calibri"/>
          <w:color w:val="525866"/>
          <w:sz w:val="22"/>
        </w:rPr>
        <w:t>Q1 2027 all-inclusive pace up high single digits overall; Dominican Republic up 20%+.</w:t>
      </w:r>
    </w:p>
    <w:p>
      <w:pPr>
        <w:pStyle w:val="ListBullet"/>
        <w:ind w:left="360" w:hanging="360"/>
      </w:pPr>
      <w:r>
        <w:rPr>
          <w:rFonts w:ascii="Calibri" w:hAnsi="Calibri"/>
          <w:b/>
          <w:color w:val="525866"/>
          <w:sz w:val="22"/>
        </w:rPr>
        <w:t xml:space="preserve">BKNG Read-Through: </w:t>
      </w:r>
      <w:r>
        <w:rPr>
          <w:rFonts w:ascii="Calibri" w:hAnsi="Calibri"/>
          <w:color w:val="525866"/>
          <w:sz w:val="22"/>
        </w:rPr>
        <w:t>The strongest RevPAR beat among hotel peers is a highly constructive signal for BKNG's Q2 volumes. The exceptional Asia-Pacific performance (+10% ex-China) is directly relevant for Agoda's Q2 results. The strong 2027 forward booking pace suggests the H2 recovery assumption embedded in BKNG's full-year guidance is achievable.</w:t>
      </w:r>
    </w:p>
    <w:p>
      <w:pPr>
        <w:pStyle w:val="Heading3"/>
      </w:pPr>
      <w:r>
        <w:rPr>
          <w:rFonts w:ascii="Calibri" w:hAnsi="Calibri"/>
          <w:b/>
          <w:color w:val="3B4259"/>
          <w:sz w:val="24"/>
        </w:rPr>
        <w:t>Trip.com Group (TCOM) — Q1 2026 Earnings Release, June 24, 2026</w:t>
      </w:r>
    </w:p>
    <w:p>
      <w:r>
        <w:rPr>
          <w:rFonts w:ascii="Calibri" w:hAnsi="Calibri"/>
          <w:b/>
          <w:color w:val="525866"/>
          <w:sz w:val="22"/>
        </w:rPr>
        <w:t xml:space="preserve">Relevance: </w:t>
      </w:r>
      <w:r>
        <w:rPr>
          <w:rFonts w:ascii="Calibri" w:hAnsi="Calibri"/>
          <w:color w:val="525866"/>
          <w:sz w:val="22"/>
        </w:rPr>
        <w:t>TCOM's Q1 2026 results (reported June 24) include Q2 2026 forward guidance — the only OTA peer to have provided a current-quarter outlook before BKNG's print. Note: TCOM's Q1 2026 results are included here because they contain forward-looking Q2 2026 guidance, which is the current reporting quarter for BKNG.</w:t>
      </w:r>
    </w:p>
    <w:p>
      <w:pPr>
        <w:pStyle w:val="ListBullet"/>
        <w:ind w:left="360" w:hanging="360"/>
      </w:pPr>
      <w:r>
        <w:rPr>
          <w:rFonts w:ascii="Calibri" w:hAnsi="Calibri"/>
          <w:color w:val="525866"/>
          <w:sz w:val="22"/>
        </w:rPr>
        <w:t>TCOM guided Q2 2026 total net revenue growth to decelerate to approximately +3–8% YoY, with "a corresponding impact on margins and bottom-line results."</w:t>
      </w:r>
    </w:p>
    <w:p>
      <w:pPr>
        <w:pStyle w:val="ListBullet"/>
        <w:ind w:left="360" w:hanging="360"/>
      </w:pPr>
      <w:r>
        <w:rPr>
          <w:rFonts w:ascii="Calibri" w:hAnsi="Calibri"/>
          <w:color w:val="525866"/>
          <w:sz w:val="22"/>
        </w:rPr>
        <w:t>Deceleration attributed to "macro headwinds such as elevated energy pricing and geopolitical volatility, alongside operational adjustments the Company implemented to align with evolving industry standards and compliance frameworks" — the latter likely referencing the antitrust investigation.</w:t>
      </w:r>
    </w:p>
    <w:p>
      <w:pPr>
        <w:pStyle w:val="ListBullet"/>
        <w:ind w:left="360" w:hanging="360"/>
      </w:pPr>
      <w:r>
        <w:rPr>
          <w:rFonts w:ascii="Calibri" w:hAnsi="Calibri"/>
          <w:color w:val="525866"/>
          <w:sz w:val="22"/>
        </w:rPr>
        <w:t>Positive offsets: "Inbound travel continues to gain momentum"; "continued growth in international travel demand"; management "optimistic about the industry's future."</w:t>
      </w:r>
    </w:p>
    <w:p>
      <w:pPr>
        <w:pStyle w:val="ListBullet"/>
        <w:ind w:left="360" w:hanging="360"/>
      </w:pPr>
      <w:r>
        <w:rPr>
          <w:rFonts w:ascii="Calibri" w:hAnsi="Calibri"/>
          <w:b/>
          <w:color w:val="525866"/>
          <w:sz w:val="22"/>
        </w:rPr>
        <w:t xml:space="preserve">BKNG Read-Through: </w:t>
      </w:r>
      <w:r>
        <w:rPr>
          <w:rFonts w:ascii="Calibri" w:hAnsi="Calibri"/>
          <w:color w:val="525866"/>
          <w:sz w:val="22"/>
        </w:rPr>
        <w:t>TCOM's Q2 deceleration is partly idiosyncratic (antitrust compliance adjustments) and partly macro (energy prices, geopolitics). The sustained inbound travel momentum and international demand growth are positive signals for BKNG's international platform. The macro headwinds cited are consistent with BKNG's own Middle East framework. TCOM's subsequent $781M antitrust fine (July 27) may create near-term competitive disruption in China that benefits Agoda.</w:t>
      </w:r>
    </w:p>
    <w:p>
      <w:pPr>
        <w:pStyle w:val="ListBullet"/>
        <w:ind w:left="360" w:hanging="360"/>
      </w:pPr>
      <w:r>
        <w:rPr>
          <w:rFonts w:ascii="Calibri" w:hAnsi="Calibri"/>
          <w:b/>
          <w:color w:val="525866"/>
          <w:sz w:val="22"/>
        </w:rPr>
        <w:t xml:space="preserve">Important caveat: </w:t>
      </w:r>
      <w:r>
        <w:rPr>
          <w:rFonts w:ascii="Calibri" w:hAnsi="Calibri"/>
          <w:color w:val="525866"/>
          <w:sz w:val="22"/>
        </w:rPr>
        <w:t>TCOM's Q2 guidance was issued before the antitrust fine was announced (July 27), so the actual Q2 impact from compliance adjustments may be larger than guided.</w:t>
      </w:r>
    </w:p>
    <w:p>
      <w:r>
        <w:rPr>
          <w:rFonts w:ascii="Calibri" w:hAnsi="Calibri"/>
          <w:b/>
          <w:color w:val="525866"/>
          <w:sz w:val="22"/>
        </w:rPr>
        <w:t>Summary Read-Through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Q2 Signal</w:t>
            </w:r>
          </w:p>
        </w:tc>
        <w:tc>
          <w:tcPr>
            <w:tcW w:type="dxa" w:w="1728"/>
            <w:shd w:val="clear" w:color="auto" w:fill="3B4259"/>
          </w:tcPr>
          <w:p>
            <w:r>
              <w:rPr>
                <w:rFonts w:ascii="Calibri" w:hAnsi="Calibri"/>
                <w:b/>
                <w:color w:val="FFFFFF"/>
                <w:sz w:val="22"/>
              </w:rPr>
              <w:t>Middle East Commentary</w:t>
            </w:r>
          </w:p>
        </w:tc>
        <w:tc>
          <w:tcPr>
            <w:tcW w:type="dxa" w:w="1728"/>
            <w:shd w:val="clear" w:color="auto" w:fill="3B4259"/>
          </w:tcPr>
          <w:p>
            <w:r>
              <w:rPr>
                <w:rFonts w:ascii="Calibri" w:hAnsi="Calibri"/>
                <w:b/>
                <w:color w:val="FFFFFF"/>
                <w:sz w:val="22"/>
              </w:rPr>
              <w:t>BKNG Read-Through</w:t>
            </w:r>
          </w:p>
        </w:tc>
      </w:tr>
      <w:tr>
        <w:tc>
          <w:tcPr>
            <w:tcW w:type="dxa" w:w="1728"/>
          </w:tcPr>
          <w:p>
            <w:r>
              <w:rPr>
                <w:rFonts w:ascii="Calibri" w:hAnsi="Calibri"/>
                <w:sz w:val="22"/>
              </w:rPr>
              <w:t>MAR</w:t>
            </w:r>
          </w:p>
        </w:tc>
        <w:tc>
          <w:tcPr>
            <w:tcW w:type="dxa" w:w="1728"/>
          </w:tcPr>
          <w:p>
            <w:r>
              <w:rPr>
                <w:rFonts w:ascii="Calibri" w:hAnsi="Calibri"/>
                <w:sz w:val="22"/>
              </w:rPr>
              <w:t>Aug 3, 2026</w:t>
            </w:r>
          </w:p>
        </w:tc>
        <w:tc>
          <w:tcPr>
            <w:tcW w:type="dxa" w:w="1728"/>
          </w:tcPr>
          <w:p>
            <w:r>
              <w:rPr>
                <w:rFonts w:ascii="Calibri" w:hAnsi="Calibri"/>
                <w:sz w:val="22"/>
              </w:rPr>
              <w:t>Global RevPAR +3.4%; U.S./Canada +5% (13-quarter high); leisure +5% globally</w:t>
            </w:r>
          </w:p>
        </w:tc>
        <w:tc>
          <w:tcPr>
            <w:tcW w:type="dxa" w:w="1728"/>
          </w:tcPr>
          <w:p>
            <w:r>
              <w:rPr>
                <w:rFonts w:ascii="Calibri" w:hAnsi="Calibri"/>
                <w:sz w:val="22"/>
              </w:rPr>
              <w:t>RevPAR -43% but better than expected; full-year impact ~100 bps (improved from 100–125 bps)</w:t>
            </w:r>
          </w:p>
        </w:tc>
        <w:tc>
          <w:tcPr>
            <w:tcW w:type="dxa" w:w="1728"/>
          </w:tcPr>
          <w:p>
            <w:r>
              <w:rPr>
                <w:rFonts w:ascii="Calibri" w:hAnsi="Calibri"/>
                <w:b/>
                <w:color w:val="30A46C"/>
                <w:sz w:val="22"/>
              </w:rPr>
              <w:t>Positive</w:t>
            </w:r>
          </w:p>
        </w:tc>
      </w:tr>
      <w:tr>
        <w:tc>
          <w:tcPr>
            <w:tcW w:type="dxa" w:w="1728"/>
          </w:tcPr>
          <w:p>
            <w:r>
              <w:rPr>
                <w:rFonts w:ascii="Calibri" w:hAnsi="Calibri"/>
                <w:sz w:val="22"/>
              </w:rPr>
              <w:t>HLT</w:t>
            </w:r>
          </w:p>
        </w:tc>
        <w:tc>
          <w:tcPr>
            <w:tcW w:type="dxa" w:w="1728"/>
          </w:tcPr>
          <w:p>
            <w:r>
              <w:rPr>
                <w:rFonts w:ascii="Calibri" w:hAnsi="Calibri"/>
                <w:sz w:val="22"/>
              </w:rPr>
              <w:t>Jul 28, 2026</w:t>
            </w:r>
          </w:p>
        </w:tc>
        <w:tc>
          <w:tcPr>
            <w:tcW w:type="dxa" w:w="1728"/>
          </w:tcPr>
          <w:p>
            <w:r>
              <w:rPr>
                <w:rFonts w:ascii="Calibri" w:hAnsi="Calibri"/>
                <w:sz w:val="22"/>
              </w:rPr>
              <w:t>System RevPAR +3.9%; U.S. +5.4%; SMB business transient +7%+; midscale recovery to +4–6%</w:t>
            </w:r>
          </w:p>
        </w:tc>
        <w:tc>
          <w:tcPr>
            <w:tcW w:type="dxa" w:w="1728"/>
          </w:tcPr>
          <w:p>
            <w:r>
              <w:rPr>
                <w:rFonts w:ascii="Calibri" w:hAnsi="Calibri"/>
                <w:sz w:val="22"/>
              </w:rPr>
              <w:t>RevPAR -30% but better than expected; ~0.5pp full-year drag; demand extended into July</w:t>
            </w:r>
          </w:p>
        </w:tc>
        <w:tc>
          <w:tcPr>
            <w:tcW w:type="dxa" w:w="1728"/>
          </w:tcPr>
          <w:p>
            <w:r>
              <w:rPr>
                <w:rFonts w:ascii="Calibri" w:hAnsi="Calibri"/>
                <w:b/>
                <w:color w:val="30A46C"/>
                <w:sz w:val="22"/>
              </w:rPr>
              <w:t>Positive</w:t>
            </w:r>
          </w:p>
        </w:tc>
      </w:tr>
      <w:tr>
        <w:tc>
          <w:tcPr>
            <w:tcW w:type="dxa" w:w="1728"/>
          </w:tcPr>
          <w:p>
            <w:r>
              <w:rPr>
                <w:rFonts w:ascii="Calibri" w:hAnsi="Calibri"/>
                <w:sz w:val="22"/>
              </w:rPr>
              <w:t>H</w:t>
            </w:r>
          </w:p>
        </w:tc>
        <w:tc>
          <w:tcPr>
            <w:tcW w:type="dxa" w:w="1728"/>
          </w:tcPr>
          <w:p>
            <w:r>
              <w:rPr>
                <w:rFonts w:ascii="Calibri" w:hAnsi="Calibri"/>
                <w:sz w:val="22"/>
              </w:rPr>
              <w:t>Jul 30, 2026</w:t>
            </w:r>
          </w:p>
        </w:tc>
        <w:tc>
          <w:tcPr>
            <w:tcW w:type="dxa" w:w="1728"/>
          </w:tcPr>
          <w:p>
            <w:r>
              <w:rPr>
                <w:rFonts w:ascii="Calibri" w:hAnsi="Calibri"/>
                <w:sz w:val="22"/>
              </w:rPr>
              <w:t>System RevPAR +5.9% (beat); APAC ex-China +10%; Greater China +7.2%; luxury transient +7%</w:t>
            </w:r>
          </w:p>
        </w:tc>
        <w:tc>
          <w:tcPr>
            <w:tcW w:type="dxa" w:w="1728"/>
          </w:tcPr>
          <w:p>
            <w:r>
              <w:rPr>
                <w:rFonts w:ascii="Calibri" w:hAnsi="Calibri"/>
                <w:sz w:val="22"/>
              </w:rPr>
              <w:t>RevPAR -36%; ~$10M full-year fee impact; strong forward booking pace for H2</w:t>
            </w:r>
          </w:p>
        </w:tc>
        <w:tc>
          <w:tcPr>
            <w:tcW w:type="dxa" w:w="1728"/>
          </w:tcPr>
          <w:p>
            <w:r>
              <w:rPr>
                <w:rFonts w:ascii="Calibri" w:hAnsi="Calibri"/>
                <w:b/>
                <w:color w:val="30A46C"/>
                <w:sz w:val="22"/>
              </w:rPr>
              <w:t>Positive</w:t>
            </w:r>
          </w:p>
        </w:tc>
      </w:tr>
      <w:tr>
        <w:tc>
          <w:tcPr>
            <w:tcW w:type="dxa" w:w="1728"/>
          </w:tcPr>
          <w:p>
            <w:r>
              <w:rPr>
                <w:rFonts w:ascii="Calibri" w:hAnsi="Calibri"/>
                <w:sz w:val="22"/>
              </w:rPr>
              <w:t>TCOM</w:t>
            </w:r>
          </w:p>
        </w:tc>
        <w:tc>
          <w:tcPr>
            <w:tcW w:type="dxa" w:w="1728"/>
          </w:tcPr>
          <w:p>
            <w:r>
              <w:rPr>
                <w:rFonts w:ascii="Calibri" w:hAnsi="Calibri"/>
                <w:sz w:val="22"/>
              </w:rPr>
              <w:t>Jun 24, 2026 (Q1 results + Q2 guide)</w:t>
            </w:r>
          </w:p>
        </w:tc>
        <w:tc>
          <w:tcPr>
            <w:tcW w:type="dxa" w:w="1728"/>
          </w:tcPr>
          <w:p>
            <w:r>
              <w:rPr>
                <w:rFonts w:ascii="Calibri" w:hAnsi="Calibri"/>
                <w:sz w:val="22"/>
              </w:rPr>
              <w:t>Q2 revenue growth guided +3–8% YoY; inbound travel momentum positive; macro headwinds cited</w:t>
            </w:r>
          </w:p>
        </w:tc>
        <w:tc>
          <w:tcPr>
            <w:tcW w:type="dxa" w:w="1728"/>
          </w:tcPr>
          <w:p>
            <w:r>
              <w:rPr>
                <w:rFonts w:ascii="Calibri" w:hAnsi="Calibri"/>
                <w:sz w:val="22"/>
              </w:rPr>
              <w:t>Geopolitical volatility cited as headwind; $781M antitrust fine (Jul 27) adds idiosyncratic risk</w:t>
            </w:r>
          </w:p>
        </w:tc>
        <w:tc>
          <w:tcPr>
            <w:tcW w:type="dxa" w:w="1728"/>
          </w:tcPr>
          <w:p>
            <w:r>
              <w:rPr>
                <w:rFonts w:ascii="Calibri" w:hAnsi="Calibri"/>
                <w:b/>
                <w:color w:val="002FA7"/>
                <w:sz w:val="22"/>
              </w:rPr>
              <w:t>Mixed</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