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-earnings-predictions--2026-08-04"/>
    <w:p>
      <w:pPr>
        <w:pStyle w:val="Heading1"/>
      </w:pPr>
      <w:r>
        <w:t xml:space="preserve">BR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3.68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Recurring revenue, constant currency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505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5.7</m:t>
              </m:r>
            </m:oMath>
            <w:r>
              <w:t xml:space="preserve">1,498M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Closed sales (FY26 full-year)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~$252M (low-mid of</w:t>
            </w:r>
            <w:r>
              <w:t xml:space="preserve"> </w:t>
            </w:r>
            <m:oMath>
              <m:r>
                <m:t>240</m:t>
              </m:r>
              <m:r>
                <m:rPr>
                  <m:sty m:val="p"/>
                </m:rPr>
                <m:t>−</m:t>
              </m:r>
              <m:r>
                <m:t>290</m:t>
              </m:r>
              <m:r>
                <m:t>M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recurring revenue growth (initial 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 CC vs. cons ~6.6%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growth (initial 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~8-10% vs. cons ~10.5%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closed sales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290</m:t>
              </m:r>
              <m:r>
                <m:rPr>
                  <m:sty m:val="p"/>
                </m:rPr>
                <m:t>−</m:t>
              </m:r>
              <m:r>
                <m:t>330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 dividend increase (20th consecutive)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4.30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10</m:t>
              </m:r>
            </m:oMath>
            <w:r>
              <w:t xml:space="preserve">4.24 (FY27 annual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Headline EPS/recurring revenue land in-line-to-slightly-beat with a 20th dividend hike and record buyback into a washed-out, ~40%-off stock, so an initial relief pop is likely despite a slightly soft closed-sales snapback (already guided down twice, so partly discounted). But the out-period math cuts the other way: FY27 initial guide holds the algorithm but at the low end (~6% recurring, ~8-10% EPS vs. the prior double-digit cadence), and the closed-sales/backlog conversion drag pulls sell-side FY27 EPS estimates lower. With a ~9% run-up into the print, that revision math plus the unresolved tokenization/AI overhang drives partial give-back, leaving the residual roughly flat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2026-08-04T00:54:21Z</dcterms:created>
  <dcterms:modified xsi:type="dcterms:W3CDTF">2026-08-04T00:54:21Z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