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BR (Broadridge Financial Solutions) before writing the preview. Let me gather recent filings, transcripts, and news.I'll read the most recent quarter (2026Q3) transcript and release, plus the prior-year Q4 (2025Q4) to understand full-year dynamics and guidance.Let me get the prior-year Q4 (FY25) release for baseline/full-year comparison, recent stock price, and current market context.The stock has fallen dramatically — from ~</w:t>
      </w:r>
      <m:oMath>
        <m:r>
          <m:t>265</m:t>
        </m:r>
        <m:r>
          <m:t>l</m:t>
        </m:r>
        <m:r>
          <m:t>a</m:t>
        </m:r>
        <m:r>
          <m:t>s</m:t>
        </m:r>
        <m:r>
          <m:t>t</m:t>
        </m:r>
        <m:r>
          <m:t>A</m:t>
        </m:r>
        <m:r>
          <m:t>u</m:t>
        </m:r>
        <m:r>
          <m:t>g</m:t>
        </m:r>
        <m:r>
          <m:t>u</m:t>
        </m:r>
        <m:r>
          <m:t>s</m:t>
        </m:r>
        <m:r>
          <m:t>t</m:t>
        </m:r>
        <m:r>
          <m:t>t</m:t>
        </m:r>
        <m:r>
          <m:t>o</m:t>
        </m:r>
        <m:r>
          <m:t> </m:t>
        </m:r>
      </m:oMath>
      <w:r>
        <w:t xml:space="preserve">157 now, a ~40% decline despite strong reported fundamentals. Let me research what's driving this and check for recent analyst/news context.Let me search the web for the tokenization disruption narrative driving the stock decline and current analyst expectations for the Q4 print.I now have a comprehensive picture. Let me compile the key implied Q4 math before writing.I have everything I need. Here is the earnings preview.</w:t>
      </w:r>
    </w:p>
    <w:p>
      <w:r>
        <w:pict>
          <v:rect style="width:0;height:1.5pt" o:hralign="center" o:hrstd="t" o:hr="t"/>
        </w:pict>
      </w:r>
    </w:p>
    <w:bookmarkStart w:id="22" w:name="Xbe94c08c38ee8565dfdb2b252dff9cc86f30e4f"/>
    <w:p>
      <w:pPr>
        <w:pStyle w:val="Heading1"/>
      </w:pPr>
      <w:r>
        <w:t xml:space="preserve">Broadridge Financial Solutions (BR) — Earnings Preview</w:t>
      </w:r>
    </w:p>
    <w:bookmarkStart w:id="9" w:name="X7eab289090cfd931a69eb00dbb62fe8ecc24991"/>
    <w:p>
      <w:pPr>
        <w:pStyle w:val="Heading3"/>
      </w:pPr>
      <w:r>
        <w:t xml:space="preserve">FY2026 Q4 &amp; Full-Year Results | Reporting Tuesday, August 4, 2026 (before market open)</w:t>
      </w:r>
    </w:p>
    <w:bookmarkEnd w:id="9"/>
    <w:bookmarkStart w:id="10" w:name="the-one-line-setup"/>
    <w:p>
      <w:pPr>
        <w:pStyle w:val="Heading2"/>
      </w:pPr>
      <w:r>
        <w:t xml:space="preserve">The one-line setup</w:t>
      </w:r>
    </w:p>
    <w:p>
      <w:pPr>
        <w:pStyle w:val="FirstParagraph"/>
      </w:pPr>
      <w:r>
        <w:t xml:space="preserve">Broadridge heads into its fiscal year-end print with</w:t>
      </w:r>
      <w:r>
        <w:t xml:space="preserve"> </w:t>
      </w:r>
      <w:r>
        <w:rPr>
          <w:b/>
          <w:bCs/>
        </w:rPr>
        <w:t xml:space="preserve">strong reported fundamentals but a wrecked stock</w:t>
      </w:r>
      <w:r>
        <w:t xml:space="preserve">. The business is tracking to another year of 7%+ recurring-revenue growth and double-digit adjusted EPS growth — yet the shares are down roughly</w:t>
      </w:r>
      <w:r>
        <w:t xml:space="preserve"> </w:t>
      </w:r>
      <w:r>
        <w:rPr>
          <w:b/>
          <w:bCs/>
        </w:rPr>
        <w:t xml:space="preserve">40–43% over the past year</w:t>
      </w:r>
      <w:r>
        <w:t xml:space="preserve">, closing at **</w:t>
      </w:r>
      <m:oMath>
        <m:r>
          <m:t>157.37</m:t>
        </m:r>
        <m:r>
          <m:t>o</m:t>
        </m:r>
        <m:r>
          <m:t>n</m:t>
        </m:r>
        <m:r>
          <m:t>A</m:t>
        </m:r>
        <m:r>
          <m:t>u</m:t>
        </m:r>
        <m:r>
          <m:t>g</m:t>
        </m:r>
        <m:r>
          <m:t>3</m:t>
        </m:r>
        <m:r>
          <m:rPr>
            <m:sty m:val="p"/>
          </m:rPr>
          <m:t>*</m:t>
        </m:r>
        <m:r>
          <m:rPr>
            <m:sty m:val="p"/>
          </m:rPr>
          <m:t>*</m:t>
        </m:r>
        <m:r>
          <m:t>v</m:t>
        </m:r>
        <m:r>
          <m:t>s</m:t>
        </m:r>
        <m:r>
          <m:rPr>
            <m:sty m:val="p"/>
          </m:rPr>
          <m:t>.</m:t>
        </m:r>
        <m:r>
          <m:t> </m:t>
        </m:r>
      </m:oMath>
      <w:r>
        <w:t xml:space="preserve">265 right after last year's Q4 report. The disconnect</w:t>
      </w:r>
      <w:r>
        <w:t xml:space="preserve"> </w:t>
      </w:r>
      <w:r>
        <w:rPr>
          <w:i/>
          <w:iCs/>
        </w:rPr>
        <w:t xml:space="preserve">is</w:t>
      </w:r>
      <w:r>
        <w:t xml:space="preserve"> </w:t>
      </w:r>
      <w:r>
        <w:t xml:space="preserve">the story. This print is less about whether BR "beats" the quarter (guidance visibility is very high) and more about whether management can (1) prove the closed-sales air-pocket was timing not demand, (2) set a credible FY27 / new three-year framework, and (3) reframe the tokenization/AI narrative that has gutted the multiple.</w:t>
      </w:r>
    </w:p>
    <w:p>
      <w:r>
        <w:pict>
          <v:rect style="width:0;height:1.5pt" o:hralign="center" o:hrstd="t" o:hr="t"/>
        </w:pict>
      </w:r>
    </w:p>
    <w:bookmarkEnd w:id="10"/>
    <w:bookmarkStart w:id="19" w:name="what-to-focus-on"/>
    <w:p>
      <w:pPr>
        <w:pStyle w:val="Heading2"/>
      </w:pPr>
      <w:r>
        <w:t xml:space="preserve">What to focus on</w:t>
      </w:r>
    </w:p>
    <w:bookmarkStart w:id="11" w:name="Xd8f50241499d672f75f60baf203c78998a9cfad"/>
    <w:p>
      <w:pPr>
        <w:pStyle w:val="Heading3"/>
      </w:pPr>
      <w:r>
        <w:t xml:space="preserve">1. The stock, and why it's here</w:t>
      </w:r>
    </w:p>
    <w:p>
      <w:pPr>
        <w:pStyle w:val="FirstParagraph"/>
      </w:pPr>
      <w:r>
        <w:t xml:space="preserve">Despite fundamentals that would normally be rewarded, the shares have de-rated hard. Two long-dated fears drove it: that AI will erode Broadridge's technology franchises and that tokenized equities will disintermediate its governance business. This isn't a fringe view — it shows up in institutional letters. Jensen Quality Growth noted BR shares underperformed during the period, driven in part by concerns around AI disintermediation and, increasingly, the potential impact of tokenization of equities on financial market infrastructure, though they pushed back, arguing many of Broadridge's core operational and regulatory services would remain necessary under existing securities laws because the SEC has consistently maintained that tokenized securities remain subject to existing securities regulations.</w:t>
      </w:r>
    </w:p>
    <w:p>
      <w:pPr>
        <w:pStyle w:val="BodyText"/>
      </w:pPr>
      <w:r>
        <w:t xml:space="preserve">The trough was ~</w:t>
      </w:r>
      <m:oMath>
        <m:r>
          <m:t>134</m:t>
        </m:r>
        <m:r>
          <m:t>i</m:t>
        </m:r>
        <m:r>
          <m:t>n</m:t>
        </m:r>
        <m:r>
          <m:t>J</m:t>
        </m:r>
        <m:r>
          <m:t>u</m:t>
        </m:r>
        <m:r>
          <m:t>n</m:t>
        </m:r>
        <m:r>
          <m:t>e</m:t>
        </m:r>
        <m:r>
          <m:rPr>
            <m:sty m:val="p"/>
          </m:rPr>
          <m:t>;</m:t>
        </m:r>
        <m:r>
          <m:t>s</m:t>
        </m:r>
        <m:r>
          <m:t>h</m:t>
        </m:r>
        <m:r>
          <m:t>a</m:t>
        </m:r>
        <m:r>
          <m:t>r</m:t>
        </m:r>
        <m:r>
          <m:t>e</m:t>
        </m:r>
        <m:r>
          <m:t>s</m:t>
        </m:r>
        <m:r>
          <m:t>h</m:t>
        </m:r>
        <m:r>
          <m:t>a</m:t>
        </m:r>
        <m:r>
          <m:t>v</m:t>
        </m:r>
        <m:r>
          <m:t>e</m:t>
        </m:r>
        <m:r>
          <m:t>s</m:t>
        </m:r>
        <m:r>
          <m:t>i</m:t>
        </m:r>
        <m:r>
          <m:t>n</m:t>
        </m:r>
        <m:r>
          <m:t>c</m:t>
        </m:r>
        <m:r>
          <m:t>e</m:t>
        </m:r>
        <m:r>
          <m:t>b</m:t>
        </m:r>
        <m:r>
          <m:t>o</m:t>
        </m:r>
        <m:r>
          <m:t>u</m:t>
        </m:r>
        <m:r>
          <m:t>n</m:t>
        </m:r>
        <m:r>
          <m:t>c</m:t>
        </m:r>
        <m:r>
          <m:t>e</m:t>
        </m:r>
        <m:r>
          <m:t>d</m:t>
        </m:r>
        <m:r>
          <m:t> </m:t>
        </m:r>
        <m:r>
          <m:t>17</m:t>
        </m:r>
      </m:oMath>
      <w:r>
        <w:t xml:space="preserve">206–$246** range (i.e., 30%+ implied upside), but those targets have been getting</w:t>
      </w:r>
      <w:r>
        <w:t xml:space="preserve"> </w:t>
      </w:r>
      <w:r>
        <w:rPr>
          <w:b/>
          <w:bCs/>
        </w:rPr>
        <w:t xml:space="preserve">cut</w:t>
      </w:r>
      <w:r>
        <w:t xml:space="preserve"> </w:t>
      </w:r>
      <w:r>
        <w:t xml:space="preserve">(one tracker noted the average target revised down ~15% over three months). Bottom line: sentiment and positioning are washed out, which raises the stakes on management's forward narrative and cuts both ways on the reaction.</w:t>
      </w:r>
    </w:p>
    <w:bookmarkEnd w:id="11"/>
    <w:bookmarkStart w:id="12" w:name="X08d0c9ad97e628ec68d1a3fd2d70ac9e7d5a021"/>
    <w:p>
      <w:pPr>
        <w:pStyle w:val="Heading3"/>
      </w:pPr>
      <w:r>
        <w:t xml:space="preserve">2. Closed sales — the single most important number</w:t>
      </w:r>
    </w:p>
    <w:p>
      <w:pPr>
        <w:pStyle w:val="FirstParagraph"/>
      </w:pPr>
      <w:r>
        <w:t xml:space="preserve">This is the metric that broke the stock in the back half of FY26. Management</w:t>
      </w:r>
      <w:r>
        <w:t xml:space="preserve"> </w:t>
      </w:r>
      <w:r>
        <w:rPr>
          <w:b/>
          <w:bCs/>
        </w:rPr>
        <w:t xml:space="preserve">cut</w:t>
      </w:r>
      <w:r>
        <w:t xml:space="preserve"> </w:t>
      </w:r>
      <w:r>
        <w:t xml:space="preserve">the FY26 closed-sales guide twice, landing at</w:t>
      </w:r>
      <w:r>
        <w:t xml:space="preserve"> </w:t>
      </w:r>
      <m:oMath>
        <m:r>
          <m:t>240</m:t>
        </m:r>
        <m:r>
          <m:rPr>
            <m:sty m:val="p"/>
          </m:rPr>
          <m:t>–</m:t>
        </m:r>
      </m:oMath>
      <w:r>
        <w:rPr>
          <w:b/>
          <w:bCs/>
        </w:rPr>
        <w:t xml:space="preserve">290M</w:t>
      </w:r>
      <w:r>
        <w:t xml:space="preserve"> </w:t>
      </w:r>
      <w:r>
        <w:t xml:space="preserve">(down from the original</w:t>
      </w:r>
      <w:r>
        <w:t xml:space="preserve"> </w:t>
      </w:r>
      <m:oMath>
        <m:r>
          <m:t>290</m:t>
        </m:r>
        <m:r>
          <m:rPr>
            <m:sty m:val="p"/>
          </m:rPr>
          <m:t>–</m:t>
        </m:r>
      </m:oMath>
      <w:r>
        <w:t xml:space="preserve">330M). Through nine months, sales were only</w:t>
      </w:r>
      <w:r>
        <w:t xml:space="preserve"> </w:t>
      </w:r>
      <w:r>
        <w:rPr>
          <w:b/>
          <w:bCs/>
        </w:rPr>
        <w:t xml:space="preserve">$147M (–16% YoY)</w:t>
      </w:r>
      <w:r>
        <w:t xml:space="preserve">.</w:t>
      </w:r>
    </w:p>
    <w:p>
      <w:pPr>
        <w:pStyle w:val="BodyText"/>
      </w:pPr>
      <w:r>
        <w:t xml:space="preserve">The math is unforgiving: to hit even the low end of the guide, Q4 closed sales need to be</w:t>
      </w:r>
      <w:r>
        <w:t xml:space="preserve"> </w:t>
      </w:r>
      <w:r>
        <w:rPr>
          <w:b/>
          <w:bCs/>
        </w:rPr>
        <w:t xml:space="preserve">~</w:t>
      </w:r>
      <m:oMath>
        <m:r>
          <m:t>93</m:t>
        </m:r>
        <m:r>
          <m:rPr>
            <m:sty m:val="p"/>
          </m:rPr>
          <m:t>–</m:t>
        </m:r>
      </m:oMath>
      <w:r>
        <w:rPr>
          <w:b/>
          <w:bCs/>
        </w:rPr>
        <w:t xml:space="preserve">143M</w:t>
      </w:r>
      <w:r>
        <w:t xml:space="preserve"> </w:t>
      </w:r>
      <w:r>
        <w:t xml:space="preserve">(vs. $114M in Q4 FY25). BR sales are always Q4-heavy, but this requires a genuine hockey-stick. Watch for:</w:t>
      </w:r>
    </w:p>
    <w:p>
      <w:pPr>
        <w:pStyle w:val="Compact"/>
        <w:numPr>
          <w:ilvl w:val="0"/>
          <w:numId w:val="1001"/>
        </w:numPr>
      </w:pPr>
      <w:r>
        <w:rPr>
          <w:b/>
          <w:bCs/>
        </w:rPr>
        <w:t xml:space="preserve">Did the big deals actually close?</w:t>
      </w:r>
      <w:r>
        <w:t xml:space="preserve"> </w:t>
      </w:r>
      <w:r>
        <w:t xml:space="preserve">Management insisted demand was fine and the problem was timing — deal origination up 25%, pipeline &gt;$1B (+20% YoY), platform sales now ~20% of pipeline, driven by larger, more complex wealth-platform and digital-transformation deals that "take longer to close."</w:t>
      </w:r>
    </w:p>
    <w:p>
      <w:pPr>
        <w:pStyle w:val="Compact"/>
        <w:numPr>
          <w:ilvl w:val="0"/>
          <w:numId w:val="1001"/>
        </w:numPr>
      </w:pPr>
      <w:r>
        <w:t xml:space="preserve">If Q4 sales land near/above the midpoint, it validates the "timing not demand" thesis and could be a relief catalyst. A miss on the</w:t>
      </w:r>
      <w:r>
        <w:t xml:space="preserve"> </w:t>
      </w:r>
      <w:r>
        <w:rPr>
          <w:i/>
          <w:iCs/>
        </w:rPr>
        <w:t xml:space="preserve">lowered</w:t>
      </w:r>
      <w:r>
        <w:t xml:space="preserve"> </w:t>
      </w:r>
      <w:r>
        <w:t xml:space="preserve">bar would be a serious credibility problem.</w:t>
      </w:r>
    </w:p>
    <w:bookmarkEnd w:id="12"/>
    <w:bookmarkStart w:id="13" w:name="X75dffcf01c262b268755f6de2f2ea32fd22d96c"/>
    <w:p>
      <w:pPr>
        <w:pStyle w:val="Heading3"/>
      </w:pPr>
      <w:r>
        <w:t xml:space="preserve">3. Will the headline numbers land? (Yes — but confirm the quality)</w:t>
      </w:r>
    </w:p>
    <w:p>
      <w:pPr>
        <w:pStyle w:val="FirstParagraph"/>
      </w:pPr>
      <w:r>
        <w:t xml:space="preserve">In Q3, BR</w:t>
      </w:r>
      <w:r>
        <w:t xml:space="preserve"> </w:t>
      </w:r>
      <w:r>
        <w:rPr>
          <w:b/>
          <w:bCs/>
        </w:rPr>
        <w:t xml:space="preserve">raised</w:t>
      </w:r>
      <w:r>
        <w:t xml:space="preserve"> </w:t>
      </w:r>
      <w:r>
        <w:t xml:space="preserve">FY26 guidance to</w:t>
      </w:r>
      <w:r>
        <w:t xml:space="preserve"> </w:t>
      </w:r>
      <w:r>
        <w:rPr>
          <w:b/>
          <w:bCs/>
        </w:rPr>
        <w:t xml:space="preserve">recurring revenue growth ≥7% constant currency</w:t>
      </w:r>
      <w:r>
        <w:t xml:space="preserve"> </w:t>
      </w:r>
      <w:r>
        <w:t xml:space="preserve">and</w:t>
      </w:r>
      <w:r>
        <w:t xml:space="preserve"> </w:t>
      </w:r>
      <w:r>
        <w:rPr>
          <w:b/>
          <w:bCs/>
        </w:rPr>
        <w:t xml:space="preserve">adjusted EPS growth of 10–12%</w:t>
      </w:r>
      <w:r>
        <w:t xml:space="preserve"> </w:t>
      </w:r>
      <w:r>
        <w:t xml:space="preserve">(AOI margin ~20–21%). Given they had records for</w:t>
      </w:r>
      <w:r>
        <w:t xml:space="preserve"> </w:t>
      </w:r>
      <w:r>
        <w:rPr>
          <w:b/>
          <w:bCs/>
        </w:rPr>
        <w:t xml:space="preserve">93% of full-year proxy positions</w:t>
      </w:r>
      <w:r>
        <w:t xml:space="preserve"> </w:t>
      </w:r>
      <w:r>
        <w:t xml:space="preserve">at Q3, visibility is very high. Implied Q4 targets: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Q4 FY25 actual</w:t>
            </w:r>
          </w:p>
        </w:tc>
        <w:tc>
          <w:tcPr/>
          <w:p>
            <w:pPr>
              <w:pStyle w:val="Compact"/>
            </w:pPr>
            <w:r>
              <w:t xml:space="preserve">Implied Q4 FY26 (to hit FY guide)</w:t>
            </w:r>
          </w:p>
        </w:tc>
      </w:tr>
      <w:tr>
        <w:tc>
          <w:tcPr/>
          <w:p>
            <w:pPr>
              <w:pStyle w:val="Compact"/>
            </w:pPr>
            <w:r>
              <w:t xml:space="preserve">Recurring revenue</w:t>
            </w:r>
          </w:p>
        </w:tc>
        <w:tc>
          <w:tcPr/>
          <w:p>
            <w:pPr>
              <w:pStyle w:val="Compact"/>
            </w:pPr>
            <w:r>
              <w:t xml:space="preserve">$1,424M</w:t>
            </w:r>
          </w:p>
        </w:tc>
        <w:tc>
          <w:tcPr/>
          <w:p>
            <w:pPr>
              <w:pStyle w:val="Compact"/>
            </w:pPr>
            <w:r>
              <w:rPr>
                <w:b/>
                <w:bCs/>
              </w:rPr>
              <w:t xml:space="preserve">~</w:t>
            </w:r>
            <m:oMath>
              <m:r>
                <m:t>1</m:t>
              </m:r>
              <m:r>
                <m:rPr>
                  <m:sty m:val="p"/>
                </m:rPr>
                <m:t>,</m:t>
              </m:r>
              <m:r>
                <m:t>490</m:t>
              </m:r>
              <m:r>
                <m:rPr>
                  <m:sty m:val="p"/>
                </m:rPr>
                <m:t>–</m:t>
              </m:r>
            </m:oMath>
            <w:r>
              <w:rPr>
                <w:b/>
                <w:bCs/>
              </w:rPr>
              <w:t xml:space="preserve">1,510M (+5–6%)</w:t>
            </w:r>
          </w:p>
        </w:tc>
      </w:tr>
      <w:tr>
        <w:tc>
          <w:tcPr/>
          <w:p>
            <w:pPr>
              <w:pStyle w:val="Compact"/>
            </w:pPr>
            <w:r>
              <w:t xml:space="preserve">Adjusted EPS</w:t>
            </w:r>
          </w:p>
        </w:tc>
        <w:tc>
          <w:tcPr/>
          <w:p>
            <w:pPr>
              <w:pStyle w:val="Compact"/>
            </w:pPr>
            <w:r>
              <w:t xml:space="preserve">$3.55</w:t>
            </w:r>
          </w:p>
        </w:tc>
        <w:tc>
          <w:tcPr/>
          <w:p>
            <w:pPr>
              <w:pStyle w:val="Compact"/>
            </w:pPr>
            <w:r>
              <w:rPr>
                <w:b/>
                <w:bCs/>
              </w:rPr>
              <w:t xml:space="preserve">~</w:t>
            </w:r>
            <m:oMath>
              <m:r>
                <m:t>3.60</m:t>
              </m:r>
              <m:r>
                <m:rPr>
                  <m:sty m:val="p"/>
                </m:rPr>
                <m:t>–</m:t>
              </m:r>
            </m:oMath>
            <w:r>
              <w:rPr>
                <w:b/>
                <w:bCs/>
              </w:rPr>
              <w:t xml:space="preserve">3.77 (+1–6%)</w:t>
            </w:r>
          </w:p>
        </w:tc>
      </w:tr>
      <w:tr>
        <w:tc>
          <w:tcPr/>
          <w:p>
            <w:pPr>
              <w:pStyle w:val="Compact"/>
            </w:pPr>
            <w:r>
              <w:t xml:space="preserve">Full-year Adj. EPS</w:t>
            </w:r>
          </w:p>
        </w:tc>
        <w:tc>
          <w:tcPr/>
          <w:p>
            <w:pPr>
              <w:pStyle w:val="Compact"/>
            </w:pPr>
            <w:r>
              <w:t xml:space="preserve">$8.55 (FY25)</w:t>
            </w:r>
          </w:p>
        </w:tc>
        <w:tc>
          <w:tcPr/>
          <w:p>
            <w:pPr>
              <w:pStyle w:val="Compact"/>
            </w:pPr>
            <w:r>
              <w:rPr>
                <w:b/>
                <w:bCs/>
              </w:rPr>
              <w:t xml:space="preserve">~</w:t>
            </w:r>
            <m:oMath>
              <m:r>
                <m:t>9.41</m:t>
              </m:r>
              <m:r>
                <m:rPr>
                  <m:sty m:val="p"/>
                </m:rPr>
                <m:t>–</m:t>
              </m:r>
            </m:oMath>
            <w:r>
              <w:rPr>
                <w:b/>
                <w:bCs/>
              </w:rPr>
              <w:t xml:space="preserve">9.58</w:t>
            </w:r>
          </w:p>
        </w:tc>
      </w:tr>
    </w:tbl>
    <w:p>
      <w:pPr>
        <w:pStyle w:val="BodyText"/>
      </w:pPr>
      <w:r>
        <w:t xml:space="preserve">Note management explicitly guided Q4 adjusted EPS growth to "low-to-mid single digits" — deliberately soft because they are</w:t>
      </w:r>
      <w:r>
        <w:t xml:space="preserve"> </w:t>
      </w:r>
      <w:r>
        <w:rPr>
          <w:b/>
          <w:bCs/>
        </w:rPr>
        <w:t xml:space="preserve">re-investing</w:t>
      </w:r>
      <w:r>
        <w:t xml:space="preserve"> </w:t>
      </w:r>
      <w:r>
        <w:t xml:space="preserve">the strong first-half beat into tokenization, AI, and shareholder-engagement initiatives. Don't read a low Q4 EPS growth number as weakness; read the</w:t>
      </w:r>
      <w:r>
        <w:t xml:space="preserve"> </w:t>
      </w:r>
      <w:r>
        <w:rPr>
          <w:i/>
          <w:iCs/>
        </w:rPr>
        <w:t xml:space="preserve">investment posture</w:t>
      </w:r>
      <w:r>
        <w:t xml:space="preserve"> </w:t>
      </w:r>
      <w:r>
        <w:t xml:space="preserve">commentary.</w:t>
      </w:r>
    </w:p>
    <w:bookmarkEnd w:id="13"/>
    <w:bookmarkStart w:id="14" w:name="Xc563e0a502b4310429a4234118123730d8d0744"/>
    <w:p>
      <w:pPr>
        <w:pStyle w:val="Heading3"/>
      </w:pPr>
      <w:r>
        <w:t xml:space="preserve">4. FY27 guidance + a new three-year framework</w:t>
      </w:r>
    </w:p>
    <w:p>
      <w:pPr>
        <w:pStyle w:val="FirstParagraph"/>
      </w:pPr>
      <w:r>
        <w:t xml:space="preserve">FY26 is the</w:t>
      </w:r>
      <w:r>
        <w:t xml:space="preserve"> </w:t>
      </w:r>
      <w:r>
        <w:rPr>
          <w:b/>
          <w:bCs/>
        </w:rPr>
        <w:t xml:space="preserve">final year of the current three-year cycle</w:t>
      </w:r>
      <w:r>
        <w:t xml:space="preserve"> </w:t>
      </w:r>
      <w:r>
        <w:t xml:space="preserve">(BR is on track to deliver its long-term targets for the</w:t>
      </w:r>
      <w:r>
        <w:t xml:space="preserve"> </w:t>
      </w:r>
      <w:r>
        <w:rPr>
          <w:b/>
          <w:bCs/>
        </w:rPr>
        <w:t xml:space="preserve">fifth consecutive</w:t>
      </w:r>
      <w:r>
        <w:t xml:space="preserve"> </w:t>
      </w:r>
      <w:r>
        <w:t xml:space="preserve">cycle). Two forward items matter more than the Q4 actuals:</w:t>
      </w:r>
    </w:p>
    <w:p>
      <w:pPr>
        <w:pStyle w:val="Compact"/>
        <w:numPr>
          <w:ilvl w:val="0"/>
          <w:numId w:val="1002"/>
        </w:numPr>
      </w:pPr>
      <w:r>
        <w:rPr>
          <w:b/>
          <w:bCs/>
        </w:rPr>
        <w:t xml:space="preserve">Initial FY27 guidance.</w:t>
      </w:r>
      <w:r>
        <w:t xml:space="preserve"> </w:t>
      </w:r>
      <w:r>
        <w:t xml:space="preserve">CFO Ashima Ghei has been pre-seeding that the lower sales will have only a</w:t>
      </w:r>
      <w:r>
        <w:t xml:space="preserve"> </w:t>
      </w:r>
      <w:r>
        <w:rPr>
          <w:b/>
          <w:bCs/>
        </w:rPr>
        <w:t xml:space="preserve">10–30 bps</w:t>
      </w:r>
      <w:r>
        <w:t xml:space="preserve"> </w:t>
      </w:r>
      <w:r>
        <w:t xml:space="preserve">drag on recurring revenue over the next 12–18 months, and that FY27 will be supported by the ~$430M starting backlog, position growth, higher trade volumes, and this year's four tuck-in acquisitions (Acolin, iJoin, Signal, CQG). Watch whether the FY27 recurring-revenue growth guide holds the ~5–7%+ algorithm or signals a step-down.</w:t>
      </w:r>
    </w:p>
    <w:p>
      <w:pPr>
        <w:pStyle w:val="Compact"/>
        <w:numPr>
          <w:ilvl w:val="0"/>
          <w:numId w:val="1002"/>
        </w:numPr>
      </w:pPr>
      <w:r>
        <w:rPr>
          <w:b/>
          <w:bCs/>
        </w:rPr>
        <w:t xml:space="preserve">New three-year objectives.</w:t>
      </w:r>
      <w:r>
        <w:t xml:space="preserve"> </w:t>
      </w:r>
      <w:r>
        <w:t xml:space="preserve">How management frames the next cycle — especially the revenue algorithm and margin trajectory amid heavy tokenization/AI investment — will set the tone for the multiple.</w:t>
      </w:r>
    </w:p>
    <w:bookmarkEnd w:id="14"/>
    <w:bookmarkStart w:id="15" w:name="X4b74225eb6a59d2f27c80f9cf510ef3eb7e5c47"/>
    <w:p>
      <w:pPr>
        <w:pStyle w:val="Heading3"/>
      </w:pPr>
      <w:r>
        <w:t xml:space="preserve">5. Volume engines (the underappreciated ballast)</w:t>
      </w:r>
    </w:p>
    <w:p>
      <w:pPr>
        <w:pStyle w:val="FirstParagraph"/>
      </w:pPr>
      <w:r>
        <w:t xml:space="preserve">BR's earnings are underpinned by structural investor-participation growth that is largely independent of the sales cycle:</w:t>
      </w:r>
    </w:p>
    <w:p>
      <w:pPr>
        <w:pStyle w:val="Compact"/>
        <w:numPr>
          <w:ilvl w:val="0"/>
          <w:numId w:val="1003"/>
        </w:numPr>
      </w:pPr>
      <w:r>
        <w:rPr>
          <w:b/>
          <w:bCs/>
        </w:rPr>
        <w:t xml:space="preserve">Equity revenue positions +11%</w:t>
      </w:r>
      <w:r>
        <w:t xml:space="preserve"> </w:t>
      </w:r>
      <w:r>
        <w:t xml:space="preserve">(total equity positions +15%), driven by managed accounts + steady self-directed growth; Q4 guided to</w:t>
      </w:r>
      <w:r>
        <w:t xml:space="preserve"> </w:t>
      </w:r>
      <w:r>
        <w:rPr>
          <w:b/>
          <w:bCs/>
        </w:rPr>
        <w:t xml:space="preserve">low-double-digit</w:t>
      </w:r>
      <w:r>
        <w:t xml:space="preserve"> </w:t>
      </w:r>
      <w:r>
        <w:t xml:space="preserve">revenue position growth.</w:t>
      </w:r>
    </w:p>
    <w:p>
      <w:pPr>
        <w:pStyle w:val="Compact"/>
        <w:numPr>
          <w:ilvl w:val="0"/>
          <w:numId w:val="1003"/>
        </w:numPr>
      </w:pPr>
      <w:r>
        <w:rPr>
          <w:b/>
          <w:bCs/>
        </w:rPr>
        <w:t xml:space="preserve">Mutual fund/ETF positions +6–7%</w:t>
      </w:r>
      <w:r>
        <w:t xml:space="preserve">; Q4 guided mid-to-high single digit.</w:t>
      </w:r>
    </w:p>
    <w:p>
      <w:pPr>
        <w:pStyle w:val="Compact"/>
        <w:numPr>
          <w:ilvl w:val="0"/>
          <w:numId w:val="1003"/>
        </w:numPr>
      </w:pPr>
      <w:r>
        <w:rPr>
          <w:b/>
          <w:bCs/>
        </w:rPr>
        <w:t xml:space="preserve">Internal trade volumes +16%</w:t>
      </w:r>
      <w:r>
        <w:t xml:space="preserve"> </w:t>
      </w:r>
      <w:r>
        <w:t xml:space="preserve">blended (double-digit in both equities and fixed income).</w:t>
      </w:r>
      <w:r>
        <w:t xml:space="preserve"> </w:t>
      </w:r>
      <w:r>
        <w:t xml:space="preserve">These are the "internal growth" points that keep compounding even if sales stall — a key part of the bull case that the market is discounting.</w:t>
      </w:r>
    </w:p>
    <w:bookmarkEnd w:id="15"/>
    <w:bookmarkStart w:id="16" w:name="Xaeeb1a5632933bc7f32b16ef7e51e7e113b0e23"/>
    <w:p>
      <w:pPr>
        <w:pStyle w:val="Heading3"/>
      </w:pPr>
      <w:r>
        <w:t xml:space="preserve">6. Segment specifics to watch</w:t>
      </w:r>
    </w:p>
    <w:p>
      <w:pPr>
        <w:pStyle w:val="Compact"/>
        <w:numPr>
          <w:ilvl w:val="0"/>
          <w:numId w:val="1004"/>
        </w:numPr>
      </w:pPr>
      <w:r>
        <w:rPr>
          <w:b/>
          <w:bCs/>
        </w:rPr>
        <w:t xml:space="preserve">ICS / Governance:</w:t>
      </w:r>
      <w:r>
        <w:t xml:space="preserve"> </w:t>
      </w:r>
      <w:r>
        <w:t xml:space="preserve">Recurring revenue +8% CC in Q3; regulatory +9%. Guided to another quarter of high-single-digit regulatory growth. This is the segment most exposed to the tokenization/digital-default narrative — listen for on-chain proxy wins (the Galaxy first-of-its-kind on-chain vote was slated for May, plus the Ondo agreement).</w:t>
      </w:r>
    </w:p>
    <w:p>
      <w:pPr>
        <w:pStyle w:val="Compact"/>
        <w:numPr>
          <w:ilvl w:val="0"/>
          <w:numId w:val="1004"/>
        </w:numPr>
      </w:pPr>
      <w:r>
        <w:rPr>
          <w:b/>
          <w:bCs/>
        </w:rPr>
        <w:t xml:space="preserve">GTO / Capital Markets &amp; Wealth:</w:t>
      </w:r>
      <w:r>
        <w:t xml:space="preserve"> </w:t>
      </w:r>
      <w:r>
        <w:t xml:space="preserve">Q3 recurring revenue +3% CC, held back by a</w:t>
      </w:r>
      <w:r>
        <w:t xml:space="preserve"> </w:t>
      </w:r>
      <w:r>
        <w:rPr>
          <w:b/>
          <w:bCs/>
        </w:rPr>
        <w:t xml:space="preserve">license-revenue headwind</w:t>
      </w:r>
      <w:r>
        <w:t xml:space="preserve"> </w:t>
      </w:r>
      <w:r>
        <w:t xml:space="preserve">(–6–7 pts to capital markets). Q4 includes ~3 pts of capital-markets contribution from the newly-closed</w:t>
      </w:r>
      <w:r>
        <w:t xml:space="preserve"> </w:t>
      </w:r>
      <w:r>
        <w:rPr>
          <w:b/>
          <w:bCs/>
        </w:rPr>
        <w:t xml:space="preserve">CQG</w:t>
      </w:r>
      <w:r>
        <w:t xml:space="preserve"> </w:t>
      </w:r>
      <w:r>
        <w:t xml:space="preserve">(</w:t>
      </w:r>
      <m:oMath>
        <m:r>
          <m:t>173</m:t>
        </m:r>
        <m:r>
          <m:t>M</m:t>
        </m:r>
        <m:r>
          <m:rPr>
            <m:sty m:val="p"/>
          </m:rPr>
          <m:t>,</m:t>
        </m:r>
        <m:r>
          <m:t>f</m:t>
        </m:r>
        <m:r>
          <m:t>u</m:t>
        </m:r>
        <m:r>
          <m:t>t</m:t>
        </m:r>
        <m:r>
          <m:t>u</m:t>
        </m:r>
        <m:r>
          <m:t>r</m:t>
        </m:r>
        <m:r>
          <m:t>e</m:t>
        </m:r>
        <m:r>
          <m:t>s</m:t>
        </m:r>
        <m:r>
          <m:rPr>
            <m:sty m:val="p"/>
          </m:rPr>
          <m:t>/</m:t>
        </m:r>
        <m:r>
          <m:t>o</m:t>
        </m:r>
        <m:r>
          <m:t>p</m:t>
        </m:r>
        <m:r>
          <m:t>t</m:t>
        </m:r>
        <m:r>
          <m:t>i</m:t>
        </m:r>
        <m:r>
          <m:t>o</m:t>
        </m:r>
        <m:r>
          <m:t>n</m:t>
        </m:r>
        <m:r>
          <m:t>s</m:t>
        </m:r>
        <m:r>
          <m:t>e</m:t>
        </m:r>
        <m:r>
          <m:t>x</m:t>
        </m:r>
        <m:r>
          <m:t>e</m:t>
        </m:r>
        <m:r>
          <m:t>c</m:t>
        </m:r>
        <m:r>
          <m:t>u</m:t>
        </m:r>
        <m:r>
          <m:t>t</m:t>
        </m:r>
        <m:r>
          <m:t>i</m:t>
        </m:r>
        <m:r>
          <m:t>o</m:t>
        </m:r>
        <m:r>
          <m:t>n</m:t>
        </m:r>
        <m:r>
          <m:rPr>
            <m:sty m:val="p"/>
          </m:rPr>
          <m:t>)</m:t>
        </m:r>
        <m:r>
          <m:t>b</m:t>
        </m:r>
        <m:r>
          <m:t>u</m:t>
        </m:r>
        <m:r>
          <m:t>t</m:t>
        </m:r>
        <m:r>
          <m:t>a</m:t>
        </m:r>
        <m:r>
          <m:t> </m:t>
        </m:r>
        <m:r>
          <m:t>5</m:t>
        </m:r>
        <m:r>
          <m:rPr>
            <m:sty m:val="p"/>
          </m:rPr>
          <m:t>−</m:t>
        </m:r>
        <m:r>
          <m:t>p</m:t>
        </m:r>
        <m:r>
          <m:t>t</m:t>
        </m:r>
        <m:r>
          <m:t>l</m:t>
        </m:r>
        <m:r>
          <m:t>i</m:t>
        </m:r>
        <m:r>
          <m:t>c</m:t>
        </m:r>
        <m:r>
          <m:t>e</m:t>
        </m:r>
        <m:r>
          <m:t>n</m:t>
        </m:r>
        <m:r>
          <m:t>s</m:t>
        </m:r>
        <m:r>
          <m:t>e</m:t>
        </m:r>
        <m:r>
          <m:t>h</m:t>
        </m:r>
        <m:r>
          <m:t>e</m:t>
        </m:r>
        <m:r>
          <m:t>a</m:t>
        </m:r>
        <m:r>
          <m:t>d</m:t>
        </m:r>
        <m:r>
          <m:t>w</m:t>
        </m:r>
        <m:r>
          <m:t>i</m:t>
        </m:r>
        <m:r>
          <m:t>n</m:t>
        </m:r>
        <m:r>
          <m:t>d</m:t>
        </m:r>
        <m:r>
          <m:t>i</m:t>
        </m:r>
        <m:r>
          <m:t>n</m:t>
        </m:r>
        <m:r>
          <m:t>w</m:t>
        </m:r>
        <m:r>
          <m:t>e</m:t>
        </m:r>
        <m:r>
          <m:t>a</m:t>
        </m:r>
        <m:r>
          <m:t>l</m:t>
        </m:r>
        <m:r>
          <m:t>t</m:t>
        </m:r>
        <m:r>
          <m:t>h</m:t>
        </m:r>
        <m:r>
          <m:rPr>
            <m:sty m:val="p"/>
          </m:rPr>
          <m:t>.</m:t>
        </m:r>
        <m:r>
          <m:t>D</m:t>
        </m:r>
        <m:r>
          <m:t>i</m:t>
        </m:r>
        <m:r>
          <m:t>g</m:t>
        </m:r>
        <m:r>
          <m:t>i</m:t>
        </m:r>
        <m:r>
          <m:t>t</m:t>
        </m:r>
        <m:r>
          <m:t>a</m:t>
        </m:r>
        <m:r>
          <m:t>l</m:t>
        </m:r>
        <m:r>
          <m:rPr>
            <m:sty m:val="p"/>
          </m:rPr>
          <m:t>−</m:t>
        </m:r>
        <m:r>
          <m:t>a</m:t>
        </m:r>
        <m:r>
          <m:t>s</m:t>
        </m:r>
        <m:r>
          <m:t>s</m:t>
        </m:r>
        <m:r>
          <m:t>e</m:t>
        </m:r>
        <m:r>
          <m:t>t</m:t>
        </m:r>
        <m:r>
          <m:rPr>
            <m:sty m:val="p"/>
          </m:rPr>
          <m:t>(</m:t>
        </m:r>
        <m:r>
          <m:t>C</m:t>
        </m:r>
        <m:r>
          <m:t>a</m:t>
        </m:r>
        <m:r>
          <m:t>n</m:t>
        </m:r>
        <m:r>
          <m:t>t</m:t>
        </m:r>
        <m:r>
          <m:t>o</m:t>
        </m:r>
        <m:r>
          <m:t>n</m:t>
        </m:r>
        <m:r>
          <m:t>s</m:t>
        </m:r>
        <m:r>
          <m:t>u</m:t>
        </m:r>
        <m:r>
          <m:t>p</m:t>
        </m:r>
        <m:r>
          <m:t>e</m:t>
        </m:r>
        <m:r>
          <m:t>r</m:t>
        </m:r>
        <m:r>
          <m:rPr>
            <m:sty m:val="p"/>
          </m:rPr>
          <m:t>−</m:t>
        </m:r>
        <m:r>
          <m:t>v</m:t>
        </m:r>
        <m:r>
          <m:t>a</m:t>
        </m:r>
        <m:r>
          <m:t>l</m:t>
        </m:r>
        <m:r>
          <m:t>i</m:t>
        </m:r>
        <m:r>
          <m:t>d</m:t>
        </m:r>
        <m:r>
          <m:t>a</m:t>
        </m:r>
        <m:r>
          <m:t>t</m:t>
        </m:r>
        <m:r>
          <m:t>o</m:t>
        </m:r>
        <m:r>
          <m:t>r</m:t>
        </m:r>
        <m:r>
          <m:rPr>
            <m:sty m:val="p"/>
          </m:rPr>
          <m:t>+</m:t>
        </m:r>
        <m:r>
          <m:t>D</m:t>
        </m:r>
        <m:r>
          <m:t>L</m:t>
        </m:r>
        <m:r>
          <m:t>R</m:t>
        </m:r>
        <m:r>
          <m:rPr>
            <m:sty m:val="p"/>
          </m:rPr>
          <m:t>)</m:t>
        </m:r>
        <m:r>
          <m:t>a</m:t>
        </m:r>
        <m:r>
          <m:t>d</m:t>
        </m:r>
        <m:r>
          <m:t>d</m:t>
        </m:r>
        <m:r>
          <m:t>e</m:t>
        </m:r>
        <m:r>
          <m:t>d</m:t>
        </m:r>
        <m:r>
          <m:t> </m:t>
        </m:r>
        <m:r>
          <m:t>2</m:t>
        </m:r>
        <m:r>
          <m:t>p</m:t>
        </m:r>
        <m:r>
          <m:t>t</m:t>
        </m:r>
        <m:r>
          <m:t>s</m:t>
        </m:r>
        <m:r>
          <m:t>t</m:t>
        </m:r>
        <m:r>
          <m:t>o</m:t>
        </m:r>
        <m:r>
          <m:t>c</m:t>
        </m:r>
        <m:r>
          <m:t>a</m:t>
        </m:r>
        <m:r>
          <m:t>p</m:t>
        </m:r>
        <m:r>
          <m:t>i</m:t>
        </m:r>
        <m:r>
          <m:t>t</m:t>
        </m:r>
        <m:r>
          <m:t>a</m:t>
        </m:r>
        <m:r>
          <m:t>l</m:t>
        </m:r>
        <m:r>
          <m:rPr>
            <m:sty m:val="p"/>
          </m:rPr>
          <m:t>−</m:t>
        </m:r>
        <m:r>
          <m:t>m</m:t>
        </m:r>
        <m:r>
          <m:t>a</m:t>
        </m:r>
        <m:r>
          <m:t>r</m:t>
        </m:r>
        <m:r>
          <m:t>k</m:t>
        </m:r>
        <m:r>
          <m:t>e</m:t>
        </m:r>
        <m:r>
          <m:t>t</m:t>
        </m:r>
        <m:r>
          <m:t>s</m:t>
        </m:r>
        <m:r>
          <m:t>g</m:t>
        </m:r>
        <m:r>
          <m:t>r</m:t>
        </m:r>
        <m:r>
          <m:t>o</m:t>
        </m:r>
        <m:r>
          <m:t>w</m:t>
        </m:r>
        <m:r>
          <m:t>t</m:t>
        </m:r>
        <m:r>
          <m:t>h</m:t>
        </m:r>
        <m:r>
          <m:rPr>
            <m:sty m:val="p"/>
          </m:rPr>
          <m:t>—</m:t>
        </m:r>
        <m:r>
          <m:t>D</m:t>
        </m:r>
        <m:r>
          <m:t>L</m:t>
        </m:r>
        <m:r>
          <m:t>R</m:t>
        </m:r>
        <m:r>
          <m:t>i</m:t>
        </m:r>
        <m:r>
          <m:t>s</m:t>
        </m:r>
        <m:r>
          <m:t>t</m:t>
        </m:r>
        <m:r>
          <m:t>o</m:t>
        </m:r>
        <m:r>
          <m:t>k</m:t>
        </m:r>
        <m:r>
          <m:t>e</m:t>
        </m:r>
        <m:r>
          <m:t>n</m:t>
        </m:r>
        <m:r>
          <m:t>i</m:t>
        </m:r>
        <m:r>
          <m:t>z</m:t>
        </m:r>
        <m:r>
          <m:t>i</m:t>
        </m:r>
        <m:r>
          <m:t>n</m:t>
        </m:r>
        <m:r>
          <m:t>g</m:t>
        </m:r>
        <m:r>
          <m:rPr>
            <m:sty m:val="p"/>
          </m:rPr>
          <m:t>*</m:t>
        </m:r>
        <m:r>
          <m:rPr>
            <m:sty m:val="p"/>
          </m:rPr>
          <m:t>*</m:t>
        </m:r>
        <m:r>
          <m:rPr>
            <m:sty m:val="p"/>
          </m:rPr>
          <m:t>&gt;</m:t>
        </m:r>
      </m:oMath>
      <w:r>
        <w:t xml:space="preserve">350B/day** (4x YoY). Watch Canton/DLR revenue disclosure.</w:t>
      </w:r>
    </w:p>
    <w:bookmarkEnd w:id="16"/>
    <w:bookmarkStart w:id="17" w:name="X3781676f105ee700c84654d708f489ce095cd2e"/>
    <w:p>
      <w:pPr>
        <w:pStyle w:val="Heading3"/>
      </w:pPr>
      <w:r>
        <w:t xml:space="preserve">7. Capital return &amp; cash — expect the 20th straight dividend hike</w:t>
      </w:r>
    </w:p>
    <w:p>
      <w:pPr>
        <w:pStyle w:val="FirstParagraph"/>
      </w:pPr>
      <w:r>
        <w:t xml:space="preserve">BR raises its dividend with the August print every year. Last year it lifted the payout</w:t>
      </w:r>
      <w:r>
        <w:t xml:space="preserve"> </w:t>
      </w:r>
      <w:r>
        <w:rPr>
          <w:b/>
          <w:bCs/>
        </w:rPr>
        <w:t xml:space="preserve">11% to $3.90</w:t>
      </w:r>
      <w:r>
        <w:t xml:space="preserve"> </w:t>
      </w:r>
      <w:r>
        <w:t xml:space="preserve">(19th consecutive annual increase);</w:t>
      </w:r>
      <w:r>
        <w:t xml:space="preserve"> </w:t>
      </w:r>
      <w:r>
        <w:rPr>
          <w:b/>
          <w:bCs/>
        </w:rPr>
        <w:t xml:space="preserve">expect the 20th increase to be announced with this report.</w:t>
      </w:r>
      <w:r>
        <w:t xml:space="preserve"> </w:t>
      </w:r>
      <w:r>
        <w:t xml:space="preserve">Other supports:</w:t>
      </w:r>
    </w:p>
    <w:p>
      <w:pPr>
        <w:pStyle w:val="Compact"/>
        <w:numPr>
          <w:ilvl w:val="0"/>
          <w:numId w:val="1005"/>
        </w:numPr>
      </w:pPr>
      <w:r>
        <w:t xml:space="preserve">FCF conversion tracking</w:t>
      </w:r>
      <w:r>
        <w:t xml:space="preserve"> </w:t>
      </w:r>
      <w:r>
        <w:rPr>
          <w:b/>
          <w:bCs/>
        </w:rPr>
        <w:t xml:space="preserve">&gt;100%</w:t>
      </w:r>
      <w:r>
        <w:t xml:space="preserve">, full-year FCF on track for</w:t>
      </w:r>
      <w:r>
        <w:t xml:space="preserve"> </w:t>
      </w:r>
      <w:r>
        <w:rPr>
          <w:b/>
          <w:bCs/>
        </w:rPr>
        <w:t xml:space="preserve">&gt;$1.1B</w:t>
      </w:r>
      <w:r>
        <w:t xml:space="preserve">.</w:t>
      </w:r>
    </w:p>
    <w:p>
      <w:pPr>
        <w:pStyle w:val="Compact"/>
        <w:numPr>
          <w:ilvl w:val="0"/>
          <w:numId w:val="1005"/>
        </w:numPr>
      </w:pPr>
      <w:r>
        <w:t xml:space="preserve">Leverage</w:t>
      </w:r>
      <w:r>
        <w:t xml:space="preserve"> </w:t>
      </w:r>
      <w:r>
        <w:rPr>
          <w:b/>
          <w:bCs/>
        </w:rPr>
        <w:t xml:space="preserve">1.9x</w:t>
      </w:r>
      <w:r>
        <w:t xml:space="preserve">, below the 2.0–2.5x target — ample dry powder.</w:t>
      </w:r>
    </w:p>
    <w:p>
      <w:pPr>
        <w:pStyle w:val="Compact"/>
        <w:numPr>
          <w:ilvl w:val="0"/>
          <w:numId w:val="1005"/>
        </w:numPr>
      </w:pPr>
      <w:r>
        <w:t xml:space="preserve">Buybacks were</w:t>
      </w:r>
      <w:r>
        <w:t xml:space="preserve"> </w:t>
      </w:r>
      <w:r>
        <w:rPr>
          <w:b/>
          <w:bCs/>
        </w:rPr>
        <w:t xml:space="preserve">stepped up to a likely record</w:t>
      </w:r>
      <w:r>
        <w:t xml:space="preserve"> </w:t>
      </w:r>
      <w:r>
        <w:t xml:space="preserve">(~</w:t>
      </w:r>
      <m:oMath>
        <m:r>
          <m:t>350</m:t>
        </m:r>
        <m:r>
          <m:t>M</m:t>
        </m:r>
        <m:r>
          <m:t>t</m:t>
        </m:r>
        <m:r>
          <m:t>h</m:t>
        </m:r>
        <m:r>
          <m:t>r</m:t>
        </m:r>
        <m:r>
          <m:t>o</m:t>
        </m:r>
        <m:r>
          <m:t>u</m:t>
        </m:r>
        <m:r>
          <m:t>g</m:t>
        </m:r>
        <m:r>
          <m:t>h</m:t>
        </m:r>
        <m:r>
          <m:t>9</m:t>
        </m:r>
        <m:r>
          <m:t>M</m:t>
        </m:r>
        <m:r>
          <m:rPr>
            <m:sty m:val="p"/>
          </m:rPr>
          <m:t>;</m:t>
        </m:r>
        <m:r>
          <m:t> </m:t>
        </m:r>
      </m:oMath>
      <w:r>
        <w:t xml:space="preserve">681M total returned to shareholders), and management called their own shares "quite compelling" at current levels. A larger buyback authorization or accelerated repurchase would be a tangible signal of conviction into the sell-off.</w:t>
      </w:r>
    </w:p>
    <w:bookmarkEnd w:id="17"/>
    <w:bookmarkStart w:id="18" w:name="X7d2fec231e7e077fc59aa9a2633945e4c950a5b"/>
    <w:p>
      <w:pPr>
        <w:pStyle w:val="Heading3"/>
      </w:pPr>
      <w:r>
        <w:t xml:space="preserve">8. Housekeeping / modeling notes</w:t>
      </w:r>
    </w:p>
    <w:p>
      <w:pPr>
        <w:pStyle w:val="Compact"/>
        <w:numPr>
          <w:ilvl w:val="0"/>
          <w:numId w:val="1006"/>
        </w:numPr>
      </w:pPr>
      <w:r>
        <w:rPr>
          <w:b/>
          <w:bCs/>
        </w:rPr>
        <w:t xml:space="preserve">GAAP EPS is noisy:</w:t>
      </w:r>
      <w:r>
        <w:t xml:space="preserve"> </w:t>
      </w:r>
      <w:r>
        <w:t xml:space="preserve">9-month GAAP diluted EPS was</w:t>
      </w:r>
      <w:r>
        <w:t xml:space="preserve"> </w:t>
      </w:r>
      <m:oMath>
        <m:r>
          <m:t>6.18</m:t>
        </m:r>
        <m:r>
          <m:rPr>
            <m:sty m:val="p"/>
          </m:rPr>
          <m:t>(</m:t>
        </m:r>
        <m:r>
          <m:rPr>
            <m:sty m:val="p"/>
          </m:rPr>
          <m:t>+</m:t>
        </m:r>
        <m:r>
          <m:t>57</m:t>
        </m:r>
      </m:oMath>
      <w:r>
        <w:t xml:space="preserve">244M pre-tax gain on Canton digital assets** — excluded from adjusted. Focus on adjusted metrics.</w:t>
      </w:r>
    </w:p>
    <w:p>
      <w:pPr>
        <w:pStyle w:val="Compact"/>
        <w:numPr>
          <w:ilvl w:val="0"/>
          <w:numId w:val="1006"/>
        </w:numPr>
      </w:pPr>
      <w:r>
        <w:rPr>
          <w:b/>
          <w:bCs/>
        </w:rPr>
        <w:t xml:space="preserve">Tax rate</w:t>
      </w:r>
      <w:r>
        <w:t xml:space="preserve"> </w:t>
      </w:r>
      <w:r>
        <w:t xml:space="preserve">~22% for the full year (Q3 benefited from discrete items at 19%).</w:t>
      </w:r>
    </w:p>
    <w:p>
      <w:pPr>
        <w:pStyle w:val="Compact"/>
        <w:numPr>
          <w:ilvl w:val="0"/>
          <w:numId w:val="1006"/>
        </w:numPr>
      </w:pPr>
      <w:r>
        <w:rPr>
          <w:b/>
          <w:bCs/>
        </w:rPr>
        <w:t xml:space="preserve">Margin optics:</w:t>
      </w:r>
      <w:r>
        <w:t xml:space="preserve"> </w:t>
      </w:r>
      <w:r>
        <w:t xml:space="preserve">higher low-/no-margin distribution revenue (postage) and lower float income are ~80 bps headwinds to AOI margin — mechanical, not operational deterioration.</w:t>
      </w:r>
    </w:p>
    <w:p>
      <w:pPr>
        <w:pStyle w:val="Compact"/>
        <w:numPr>
          <w:ilvl w:val="0"/>
          <w:numId w:val="1006"/>
        </w:numPr>
      </w:pPr>
      <w:r>
        <w:rPr>
          <w:b/>
          <w:bCs/>
        </w:rPr>
        <w:t xml:space="preserve">FX:</w:t>
      </w:r>
      <w:r>
        <w:t xml:space="preserve"> </w:t>
      </w:r>
      <w:r>
        <w:t xml:space="preserve">only a modest tailwind (~50 bps full year) given the stronger dollar.</w:t>
      </w:r>
    </w:p>
    <w:p>
      <w:r>
        <w:pict>
          <v:rect style="width:0;height:1.5pt" o:hralign="center" o:hrstd="t" o:hr="t"/>
        </w:pict>
      </w:r>
    </w:p>
    <w:bookmarkEnd w:id="18"/>
    <w:bookmarkEnd w:id="19"/>
    <w:bookmarkStart w:id="20" w:name="bull-vs-bear-into-the-print"/>
    <w:p>
      <w:pPr>
        <w:pStyle w:val="Heading2"/>
      </w:pPr>
      <w:r>
        <w:t xml:space="preserve">Bull vs. bear into the print</w:t>
      </w:r>
    </w:p>
    <w:p>
      <w:pPr>
        <w:pStyle w:val="FirstParagraph"/>
      </w:pPr>
      <w:r>
        <w:rPr>
          <w:b/>
          <w:bCs/>
        </w:rPr>
        <w:t xml:space="preserve">Bull case:</w:t>
      </w:r>
      <w:r>
        <w:t xml:space="preserve"> </w:t>
      </w:r>
      <w:r>
        <w:t xml:space="preserve">Fundamentals are intact — 7%+ recurring growth, double-digit EPS, 100%+ FCF conversion, a 20th dividend hike, record buybacks into a 40%-off stock, and a genuinely differentiated (not disrupted) role in tokenized governance and repo. If Q4 sales snap back and FY27 guidance holds the algorithm, the valuation reset looks like an overreaction.</w:t>
      </w:r>
    </w:p>
    <w:p>
      <w:pPr>
        <w:pStyle w:val="BodyText"/>
      </w:pPr>
      <w:r>
        <w:rPr>
          <w:b/>
          <w:bCs/>
        </w:rPr>
        <w:t xml:space="preserve">Bear case:</w:t>
      </w:r>
      <w:r>
        <w:t xml:space="preserve"> </w:t>
      </w:r>
      <w:r>
        <w:t xml:space="preserve">The closed-sales guide was cut twice; a Q4 miss on the lowered bar would confirm demand — not timing — problems. Tokenization/AI remain existential overhangs the market refuses to look through, and a potential SEC "digital-default" proxy proposal is an incremental (management says net-neutral) risk to customer-communications revenue. A soft FY27 guide could extend the de-rating.</w:t>
      </w:r>
    </w:p>
    <w:bookmarkEnd w:id="20"/>
    <w:bookmarkStart w:id="21" w:name="bottom-line"/>
    <w:p>
      <w:pPr>
        <w:pStyle w:val="Heading2"/>
      </w:pPr>
      <w:r>
        <w:t xml:space="preserve">Bottom line</w:t>
      </w:r>
    </w:p>
    <w:p>
      <w:pPr>
        <w:pStyle w:val="FirstParagraph"/>
      </w:pPr>
      <w:r>
        <w:t xml:space="preserve">Don't over-index on the Q4 headline — guidance visibility makes a big surprise unlikely.</w:t>
      </w:r>
      <w:r>
        <w:t xml:space="preserve"> </w:t>
      </w:r>
      <w:r>
        <w:rPr>
          <w:b/>
          <w:bCs/>
        </w:rPr>
        <w:t xml:space="preserve">The reaction will hinge on three things: the Q4 closed-sales snapback (needs ~$93–143M), the FY27 / new three-year growth algorithm, and management's ability to convincingly reframe tokenization and AI as tailwinds rather than threats.</w:t>
      </w:r>
      <w:r>
        <w:t xml:space="preserve"> </w:t>
      </w:r>
      <w:r>
        <w:t xml:space="preserve">Given washed-out sentiment and a stock near multi-year lows, the risk/reward is asymmetric on any credible reassurance — but the burden of proof is squarely on management.</w:t>
      </w:r>
    </w:p>
    <w:p>
      <w:pPr>
        <w:pStyle w:val="BodyText"/>
      </w:pPr>
      <w:r>
        <w:rPr>
          <w:i/>
          <w:iCs/>
        </w:rPr>
        <w:t xml:space="preserve">(Fiscal year ends June 30; this is the FY2026 Q4 and full-year report.)</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2026-08-04T00:54:21Z</dcterms:created>
  <dcterms:modified xsi:type="dcterms:W3CDTF">2026-08-04T00:54:21Z</dcterms:modified>
</cp:coreProperties>
</file>

<file path=docProps/custom.xml><?xml version="1.0" encoding="utf-8"?>
<Properties xmlns="http://schemas.openxmlformats.org/officeDocument/2006/custom-properties" xmlns:vt="http://schemas.openxmlformats.org/officeDocument/2006/docPropsVTypes"/>
</file>