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b78b46040fc16af8f54e9a27057469269f09de7"/>
    <w:p>
      <w:pPr>
        <w:pStyle w:val="Heading1"/>
      </w:pPr>
      <w:r>
        <w:t xml:space="preserve">Broadridge Financial Solutions (BR) — Fiscal Q4 2026 Earnings Preview</w:t>
      </w:r>
    </w:p>
    <w:p>
      <w:pPr>
        <w:pStyle w:val="FirstParagraph"/>
      </w:pPr>
      <w:r>
        <w:rPr>
          <w:b/>
          <w:bCs/>
        </w:rPr>
        <w:t xml:space="preserve">Reports: Tuesday, August 4, 2026, before market open | Call: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Broadridge closes out fiscal 2026 (fiscal year ended June 30, 2026) against a backdrop of solid fundamental execution but a stock that has been under significant pressure. Shares changed hands around $155-157 heading into the report, down sharply from 52-week highs near $272, with one recent summary noting the stock has faced a 40% decline over the past year amid concerns over AI disruption and market competition. Sell-side sentiment has grown more cautious even as fundamentals have stayed intact — several firms trimmed targets this spring (UBS to $165/Neutral, DA Davidson to $214/Buy, Needham to $230/Buy) while RBC reiterated an Outperform rating with a $200 target in June. The Street consensus remains a "Moderate Buy" with an average target in the roughly</w:t>
      </w:r>
      <w:r>
        <w:t xml:space="preserve"> </w:t>
      </w:r>
      <m:oMath>
        <m:r>
          <m:t>206</m:t>
        </m:r>
        <m:r>
          <m:rPr>
            <m:sty m:val="p"/>
          </m:rPr>
          <m:t>−</m:t>
        </m:r>
      </m:oMath>
      <w:r>
        <w:t xml:space="preserve">222 range, implying meaningful perceived upside from current levels but reflecting a valuation reset over the past year.</w:t>
      </w:r>
    </w:p>
    <w:p>
      <w:pPr>
        <w:pStyle w:val="BodyText"/>
      </w:pPr>
      <w:r>
        <w:rPr>
          <w:b/>
          <w:bCs/>
        </w:rPr>
        <w:t xml:space="preserve">Consensus for the quarter:</w:t>
      </w:r>
      <w:r>
        <w:t xml:space="preserve"> </w:t>
      </w:r>
      <w:r>
        <w:t xml:space="preserve">Analysts are modeling roughly</w:t>
      </w:r>
      <w:r>
        <w:t xml:space="preserve"> </w:t>
      </w:r>
      <m:oMath>
        <m:r>
          <m:t>3.75</m:t>
        </m:r>
        <m:r>
          <m:t>i</m:t>
        </m:r>
        <m:r>
          <m:t>n</m:t>
        </m:r>
        <m:r>
          <m:t>a</m:t>
        </m:r>
        <m:r>
          <m:t>d</m:t>
        </m:r>
        <m:r>
          <m:t>j</m:t>
        </m:r>
        <m:r>
          <m:t>u</m:t>
        </m:r>
        <m:r>
          <m:t>s</m:t>
        </m:r>
        <m:r>
          <m:t>t</m:t>
        </m:r>
        <m:r>
          <m:t>e</m:t>
        </m:r>
        <m:r>
          <m:t>d</m:t>
        </m:r>
        <m:r>
          <m:t>E</m:t>
        </m:r>
        <m:r>
          <m:t>P</m:t>
        </m:r>
        <m:r>
          <m:t>S</m:t>
        </m:r>
        <m:r>
          <m:rPr>
            <m:sty m:val="p"/>
          </m:rPr>
          <m:t>*</m:t>
        </m:r>
        <m:r>
          <m:rPr>
            <m:sty m:val="p"/>
          </m:rPr>
          <m:t>*</m:t>
        </m:r>
        <m:r>
          <m:t>a</m:t>
        </m:r>
        <m:r>
          <m:t>n</m:t>
        </m:r>
        <m:r>
          <m:t>d</m:t>
        </m:r>
        <m:r>
          <m:t>a</m:t>
        </m:r>
        <m:r>
          <m:t>b</m:t>
        </m:r>
        <m:r>
          <m:t>o</m:t>
        </m:r>
        <m:r>
          <m:t>u</m:t>
        </m:r>
        <m:r>
          <m:t>t</m:t>
        </m:r>
        <m:r>
          <m:rPr>
            <m:sty m:val="p"/>
          </m:rPr>
          <m:t>*</m:t>
        </m:r>
        <m:r>
          <m:rPr>
            <m:sty m:val="p"/>
          </m:rPr>
          <m:t>*</m:t>
        </m:r>
      </m:oMath>
      <w:r>
        <w:rPr>
          <w:b/>
          <w:bCs/>
        </w:rPr>
        <w:t xml:space="preserve">2.17 billion in revenue</w:t>
      </w:r>
      <w:r>
        <w:t xml:space="preserve">, with one estimate framing that as the market is expecting Broadridge's revenue to grow 4.8% year on year, slowing from the 6.2% increase it recorded in the same quarter last year. Zacks similarly pegs revenue growth at $2.17 billion, suggesting a 5.3% rise from the fiscal fourth-quarter 2025 actuals. Broadridge has a strong beat record — the company has an impressive earnings surprise history, with earnings surpassing the Zacks Consensus Estimate in each of the trailing four quarters, delivering an average surprise of 12.5% — including last quarter's beat of</w:t>
      </w:r>
      <w:r>
        <w:t xml:space="preserve"> </w:t>
      </w:r>
      <m:oMath>
        <m:r>
          <m:t>2.72</m:t>
        </m:r>
        <m:r>
          <m:t>v</m:t>
        </m:r>
        <m:r>
          <m:t>s</m:t>
        </m:r>
        <m:r>
          <m:rPr>
            <m:sty m:val="p"/>
          </m:rPr>
          <m:t>.</m:t>
        </m:r>
        <m:r>
          <m:t>a</m:t>
        </m:r>
        <m:r>
          <m:t> </m:t>
        </m:r>
      </m:oMath>
      <w:r>
        <w:t xml:space="preserve">2.61-2.63 estimate.</w:t>
      </w:r>
    </w:p>
    <w:p>
      <w:r>
        <w:pict>
          <v:rect style="width:0;height:1.5pt" o:hralign="center" o:hrstd="t" o:hr="t"/>
        </w:pict>
      </w:r>
    </w:p>
    <w:bookmarkEnd w:id="9"/>
    <w:bookmarkStart w:id="10" w:name="X3b40d3a9e3894e74c7bee55aa71924c888d0fa2"/>
    <w:p>
      <w:pPr>
        <w:pStyle w:val="Heading2"/>
      </w:pPr>
      <w:r>
        <w:t xml:space="preserve">What We Learned Last Quarter (Q3 FY26, reported April 30)</w:t>
      </w:r>
    </w:p>
    <w:p>
      <w:pPr>
        <w:pStyle w:val="FirstParagraph"/>
      </w:pPr>
      <w:r>
        <w:t xml:space="preserve">Q3 was a "good news/bad news" print that set the tone for how investors should read Q4:</w:t>
      </w:r>
    </w:p>
    <w:p>
      <w:pPr>
        <w:pStyle w:val="Compact"/>
        <w:numPr>
          <w:ilvl w:val="0"/>
          <w:numId w:val="1001"/>
        </w:numPr>
      </w:pPr>
      <w:r>
        <w:rPr>
          <w:b/>
          <w:bCs/>
        </w:rPr>
        <w:t xml:space="preserve">Recurring revenue</w:t>
      </w:r>
      <w:r>
        <w:t xml:space="preserve"> </w:t>
      </w:r>
      <w:r>
        <w:t xml:space="preserve">grew 7% reported / 6% constant currency, with</w:t>
      </w:r>
      <w:r>
        <w:t xml:space="preserve"> </w:t>
      </w:r>
      <w:r>
        <w:rPr>
          <w:b/>
          <w:bCs/>
        </w:rPr>
        <w:t xml:space="preserve">adjusted EPS up 11% to $2.72</w:t>
      </w:r>
      <w:r>
        <w:t xml:space="preserve"> </w:t>
      </w:r>
      <w:r>
        <w:t xml:space="preserve">(a beat) and diluted EPS up 15% to $2.36.</w:t>
      </w:r>
    </w:p>
    <w:p>
      <w:pPr>
        <w:pStyle w:val="Compact"/>
        <w:numPr>
          <w:ilvl w:val="0"/>
          <w:numId w:val="1001"/>
        </w:numPr>
      </w:pPr>
      <w:r>
        <w:rPr>
          <w:b/>
          <w:bCs/>
        </w:rPr>
        <w:t xml:space="preserve">Guidance was raised</w:t>
      </w:r>
      <w:r>
        <w:t xml:space="preserve">: full-year recurring revenue growth (constant currency) moved to</w:t>
      </w:r>
      <w:r>
        <w:t xml:space="preserve"> </w:t>
      </w:r>
      <w:r>
        <w:rPr>
          <w:b/>
          <w:bCs/>
        </w:rPr>
        <w:t xml:space="preserve">"at or above 7%"</w:t>
      </w:r>
      <w:r>
        <w:t xml:space="preserve"> </w:t>
      </w:r>
      <w:r>
        <w:t xml:space="preserve">(from the high end of 5-7%), and adjusted EPS growth guidance rose to</w:t>
      </w:r>
      <w:r>
        <w:t xml:space="preserve"> </w:t>
      </w:r>
      <w:r>
        <w:rPr>
          <w:b/>
          <w:bCs/>
        </w:rPr>
        <w:t xml:space="preserve">10-12%</w:t>
      </w:r>
      <w:r>
        <w:t xml:space="preserve"> </w:t>
      </w:r>
      <w:r>
        <w:t xml:space="preserve">(from 9-12%). Adjusted operating margin guidance stayed at</w:t>
      </w:r>
      <w:r>
        <w:t xml:space="preserve"> </w:t>
      </w:r>
      <w:r>
        <w:rPr>
          <w:b/>
          <w:bCs/>
        </w:rPr>
        <w:t xml:space="preserve">20-21%</w:t>
      </w:r>
      <w:r>
        <w:t xml:space="preserve">.</w:t>
      </w:r>
    </w:p>
    <w:p>
      <w:pPr>
        <w:pStyle w:val="Compact"/>
        <w:numPr>
          <w:ilvl w:val="0"/>
          <w:numId w:val="1001"/>
        </w:numPr>
      </w:pPr>
      <w:r>
        <w:rPr>
          <w:b/>
          <w:bCs/>
        </w:rPr>
        <w:t xml:space="preserve">Closed sales guidance was cut</w:t>
      </w:r>
      <w:r>
        <w:t xml:space="preserve"> </w:t>
      </w:r>
      <w:r>
        <w:t xml:space="preserve">to</w:t>
      </w:r>
      <w:r>
        <w:t xml:space="preserve"> </w:t>
      </w:r>
      <w:r>
        <w:rPr>
          <w:b/>
          <w:bCs/>
        </w:rPr>
        <w:t xml:space="preserve">$240-290 million</w:t>
      </w:r>
      <w:r>
        <w:t xml:space="preserve"> </w:t>
      </w:r>
      <w:r>
        <w:t xml:space="preserve">from $290-330 million, after Q3 closed sales fell 19% y/y to $58 million and nine-month closed sales fell 16% to</w:t>
      </w:r>
      <w:r>
        <w:t xml:space="preserve"> </w:t>
      </w:r>
      <m:oMath>
        <m:r>
          <m:t>147</m:t>
        </m:r>
        <m:r>
          <m:t>m</m:t>
        </m:r>
        <m:r>
          <m:t>i</m:t>
        </m:r>
        <m:r>
          <m:t>l</m:t>
        </m:r>
        <m:r>
          <m:t>l</m:t>
        </m:r>
        <m:r>
          <m:t>i</m:t>
        </m:r>
        <m:r>
          <m:t>o</m:t>
        </m:r>
        <m:r>
          <m:t>n</m:t>
        </m:r>
        <m:r>
          <m:rPr>
            <m:sty m:val="p"/>
          </m:rPr>
          <m:t>.</m:t>
        </m:r>
        <m:r>
          <m:t>M</m:t>
        </m:r>
        <m:r>
          <m:t>a</m:t>
        </m:r>
        <m:r>
          <m:t>n</m:t>
        </m:r>
        <m:r>
          <m:t>a</m:t>
        </m:r>
        <m:r>
          <m:t>g</m:t>
        </m:r>
        <m:r>
          <m:t>e</m:t>
        </m:r>
        <m:r>
          <m:t>m</m:t>
        </m:r>
        <m:r>
          <m:t>e</m:t>
        </m:r>
        <m:r>
          <m:t>n</m:t>
        </m:r>
        <m:r>
          <m:t>t</m:t>
        </m:r>
        <m:r>
          <m:t>a</m:t>
        </m:r>
        <m:r>
          <m:t>t</m:t>
        </m:r>
        <m:r>
          <m:t>t</m:t>
        </m:r>
        <m:r>
          <m:t>r</m:t>
        </m:r>
        <m:r>
          <m:t>i</m:t>
        </m:r>
        <m:r>
          <m:t>b</m:t>
        </m:r>
        <m:r>
          <m:t>u</m:t>
        </m:r>
        <m:r>
          <m:t>t</m:t>
        </m:r>
        <m:r>
          <m:t>e</m:t>
        </m:r>
        <m:r>
          <m:t>d</m:t>
        </m:r>
        <m:r>
          <m:t>t</m:t>
        </m:r>
        <m:r>
          <m:t>h</m:t>
        </m:r>
        <m:r>
          <m:t>i</m:t>
        </m:r>
        <m:r>
          <m:t>s</m:t>
        </m:r>
        <m:r>
          <m:t>t</m:t>
        </m:r>
        <m:r>
          <m:t>o</m:t>
        </m:r>
        <m:r>
          <m:t>a</m:t>
        </m:r>
        <m:r>
          <m:t>m</m:t>
        </m:r>
        <m:r>
          <m:t>i</m:t>
        </m:r>
        <m:r>
          <m:t>x</m:t>
        </m:r>
        <m:r>
          <m:t>s</m:t>
        </m:r>
        <m:r>
          <m:t>h</m:t>
        </m:r>
        <m:r>
          <m:t>i</m:t>
        </m:r>
        <m:r>
          <m:t>f</m:t>
        </m:r>
        <m:r>
          <m:t>t</m:t>
        </m:r>
        <m:r>
          <m:t>t</m:t>
        </m:r>
        <m:r>
          <m:t>o</m:t>
        </m:r>
        <m:r>
          <m:t>w</m:t>
        </m:r>
        <m:r>
          <m:t>a</m:t>
        </m:r>
        <m:r>
          <m:t>r</m:t>
        </m:r>
        <m:r>
          <m:t>d</m:t>
        </m:r>
        <m:r>
          <m:t>l</m:t>
        </m:r>
        <m:r>
          <m:t>a</m:t>
        </m:r>
        <m:r>
          <m:t>r</m:t>
        </m:r>
        <m:r>
          <m:t>g</m:t>
        </m:r>
        <m:r>
          <m:t>e</m:t>
        </m:r>
        <m:r>
          <m:t>r</m:t>
        </m:r>
        <m:r>
          <m:rPr>
            <m:sty m:val="p"/>
          </m:rPr>
          <m:t>,</m:t>
        </m:r>
        <m:r>
          <m:t>m</m:t>
        </m:r>
        <m:r>
          <m:t>o</m:t>
        </m:r>
        <m:r>
          <m:t>r</m:t>
        </m:r>
        <m:r>
          <m:t>e</m:t>
        </m:r>
        <m:r>
          <m:t>c</m:t>
        </m:r>
        <m:r>
          <m:t>o</m:t>
        </m:r>
        <m:r>
          <m:t>m</m:t>
        </m:r>
        <m:r>
          <m:t>p</m:t>
        </m:r>
        <m:r>
          <m:t>l</m:t>
        </m:r>
        <m:r>
          <m:t>e</m:t>
        </m:r>
        <m:r>
          <m:t>x</m:t>
        </m:r>
        <m:r>
          <m:rPr>
            <m:sty m:val="p"/>
          </m:rPr>
          <m:t>(</m:t>
        </m:r>
      </m:oMath>
      <w:r>
        <w:t xml:space="preserve">5M+) deals in wealth, digital transformation and shareholder engagement that take longer to close — not weaker demand. CEO Tim Gokey pointed to pipeline "well north of $1 billion," up ~20% y/y, and deal origination up ~25% y/y, and CFO Ashima Ghei estimated the sales shortfall would only shave 10-30 bps off next year's recurring revenue growth.</w:t>
      </w:r>
    </w:p>
    <w:p>
      <w:pPr>
        <w:pStyle w:val="Compact"/>
        <w:numPr>
          <w:ilvl w:val="0"/>
          <w:numId w:val="1001"/>
        </w:numPr>
      </w:pPr>
      <w:r>
        <w:t xml:space="preserve">Segment trends:</w:t>
      </w:r>
      <w:r>
        <w:t xml:space="preserve"> </w:t>
      </w:r>
      <w:r>
        <w:rPr>
          <w:b/>
          <w:bCs/>
        </w:rPr>
        <w:t xml:space="preserve">ICS (governance)</w:t>
      </w:r>
      <w:r>
        <w:t xml:space="preserve"> </w:t>
      </w:r>
      <w:r>
        <w:t xml:space="preserve">recurring revenue rose 8% CC, powered by 11% equity revenue position growth and 6% mutual fund/ETF position growth, plus early traction from Broadridge's pass-through voting and new AI-driven custom policy engine (already used by asset managers with &gt;$800B AUM).</w:t>
      </w:r>
      <w:r>
        <w:t xml:space="preserve"> </w:t>
      </w:r>
      <w:r>
        <w:rPr>
          <w:b/>
          <w:bCs/>
        </w:rPr>
        <w:t xml:space="preserve">GTO</w:t>
      </w:r>
      <w:r>
        <w:t xml:space="preserve"> </w:t>
      </w:r>
      <w:r>
        <w:t xml:space="preserve">recurring revenue rose only 3% CC as a tough license-revenue comparison masked 6% underlying capital-markets growth; wealth &amp; investment management grew 8% CC on Canada strength.</w:t>
      </w:r>
    </w:p>
    <w:p>
      <w:pPr>
        <w:pStyle w:val="Compact"/>
        <w:numPr>
          <w:ilvl w:val="0"/>
          <w:numId w:val="1001"/>
        </w:numPr>
      </w:pPr>
      <w:r>
        <w:t xml:space="preserve">Broadridge closed its</w:t>
      </w:r>
      <w:r>
        <w:t xml:space="preserve"> </w:t>
      </w:r>
      <w:r>
        <w:rPr>
          <w:b/>
          <w:bCs/>
        </w:rPr>
        <w:t xml:space="preserve">CQG acquisition</w:t>
      </w:r>
      <w:r>
        <w:t xml:space="preserve"> </w:t>
      </w:r>
      <w:r>
        <w:t xml:space="preserve">(futures/options execution management, ~</w:t>
      </w:r>
      <m:oMath>
        <m:r>
          <m:t>173</m:t>
        </m:r>
        <m:r>
          <m:t>M</m:t>
        </m:r>
        <m:r>
          <m:rPr>
            <m:sty m:val="p"/>
          </m:rPr>
          <m:t>)</m:t>
        </m:r>
        <m:r>
          <m:t>o</m:t>
        </m:r>
        <m:r>
          <m:t>n</m:t>
        </m:r>
        <m:r>
          <m:t>A</m:t>
        </m:r>
        <m:r>
          <m:t>p</m:t>
        </m:r>
        <m:r>
          <m:t>r</m:t>
        </m:r>
        <m:r>
          <m:t>i</m:t>
        </m:r>
        <m:r>
          <m:t>l</m:t>
        </m:r>
        <m:r>
          <m:t>30</m:t>
        </m:r>
        <m:r>
          <m:rPr>
            <m:sty m:val="p"/>
          </m:rPr>
          <m:t>,</m:t>
        </m:r>
        <m:r>
          <m:t>i</m:t>
        </m:r>
        <m:r>
          <m:t>t</m:t>
        </m:r>
        <m:r>
          <m:t>s</m:t>
        </m:r>
        <m:r>
          <m:t>f</m:t>
        </m:r>
        <m:r>
          <m:t>o</m:t>
        </m:r>
        <m:r>
          <m:t>u</m:t>
        </m:r>
        <m:r>
          <m:t>r</m:t>
        </m:r>
        <m:r>
          <m:t>t</m:t>
        </m:r>
        <m:r>
          <m:t>h</m:t>
        </m:r>
        <m:r>
          <m:t>t</m:t>
        </m:r>
        <m:r>
          <m:t>u</m:t>
        </m:r>
        <m:r>
          <m:t>c</m:t>
        </m:r>
        <m:r>
          <m:t>k</m:t>
        </m:r>
        <m:r>
          <m:rPr>
            <m:sty m:val="p"/>
          </m:rPr>
          <m:t>−</m:t>
        </m:r>
        <m:r>
          <m:t>i</m:t>
        </m:r>
        <m:r>
          <m:t>n</m:t>
        </m:r>
        <m:r>
          <m:t>a</m:t>
        </m:r>
        <m:r>
          <m:t>c</m:t>
        </m:r>
        <m:r>
          <m:t>q</m:t>
        </m:r>
        <m:r>
          <m:t>u</m:t>
        </m:r>
        <m:r>
          <m:t>i</m:t>
        </m:r>
        <m:r>
          <m:t>s</m:t>
        </m:r>
        <m:r>
          <m:t>i</m:t>
        </m:r>
        <m:r>
          <m:t>t</m:t>
        </m:r>
        <m:r>
          <m:t>i</m:t>
        </m:r>
        <m:r>
          <m:t>o</m:t>
        </m:r>
        <m:r>
          <m:t>n</m:t>
        </m:r>
        <m:r>
          <m:t>o</m:t>
        </m:r>
        <m:r>
          <m:t>f</m:t>
        </m:r>
        <m:r>
          <m:t>t</m:t>
        </m:r>
        <m:r>
          <m:t>h</m:t>
        </m:r>
        <m:r>
          <m:t>e</m:t>
        </m:r>
        <m:r>
          <m:t>y</m:t>
        </m:r>
        <m:r>
          <m:t>e</m:t>
        </m:r>
        <m:r>
          <m:t>a</m:t>
        </m:r>
        <m:r>
          <m:t>r</m:t>
        </m:r>
        <m:r>
          <m:rPr>
            <m:sty m:val="p"/>
          </m:rPr>
          <m:t>(</m:t>
        </m:r>
        <m:r>
          <m:t> </m:t>
        </m:r>
      </m:oMath>
      <w:r>
        <w:t xml:space="preserve">294M total, alongside Acolin, iJoin and Signal), while returning $681 million to shareholders via dividends and buybacks through nine months — well within its balanced capital-allocation framework (leverage at 1.9x, below its 2.0-2.5x target range).</w:t>
      </w:r>
    </w:p>
    <w:p>
      <w:pPr>
        <w:pStyle w:val="Compact"/>
        <w:numPr>
          <w:ilvl w:val="0"/>
          <w:numId w:val="1001"/>
        </w:numPr>
      </w:pPr>
      <w:r>
        <w:t xml:space="preserve">In May, Broadridge also priced a</w:t>
      </w:r>
      <w:r>
        <w:t xml:space="preserve"> </w:t>
      </w:r>
      <w:r>
        <w:rPr>
          <w:b/>
          <w:bCs/>
        </w:rPr>
        <w:t xml:space="preserve">$500 million, 5.75% senior notes offering due 2036</w:t>
      </w:r>
      <w:r>
        <w:t xml:space="preserve"> </w:t>
      </w:r>
      <w:r>
        <w:t xml:space="preserve">to refinance 3.400% notes maturing in 2026 — routine balance-sheet management, though it locks in meaningfully higher coupon costs than the notes being replaced, a modest incremental headwind to net interest expense.</w:t>
      </w:r>
    </w:p>
    <w:p>
      <w:r>
        <w:pict>
          <v:rect style="width:0;height:1.5pt" o:hralign="center" o:hrstd="t" o:hr="t"/>
        </w:pict>
      </w:r>
    </w:p>
    <w:bookmarkEnd w:id="10"/>
    <w:bookmarkStart w:id="17" w:name="what-to-watch-in-the-q4fy26-report"/>
    <w:p>
      <w:pPr>
        <w:pStyle w:val="Heading2"/>
      </w:pPr>
      <w:r>
        <w:t xml:space="preserve">What to Watch in the Q4/FY26 Report</w:t>
      </w:r>
    </w:p>
    <w:bookmarkStart w:id="11" w:name="Xbe6ed754b87301d09bbd8052c2113975f15f4fa"/>
    <w:p>
      <w:pPr>
        <w:pStyle w:val="Heading3"/>
      </w:pPr>
      <w:r>
        <w:t xml:space="preserve">1. Did full-year guidance get hit — and where does FY27 guidance land?</w:t>
      </w:r>
    </w:p>
    <w:p>
      <w:pPr>
        <w:pStyle w:val="FirstParagraph"/>
      </w:pPr>
      <w:r>
        <w:t xml:space="preserve">Management's own math implied Q4 would need only</w:t>
      </w:r>
      <w:r>
        <w:t xml:space="preserve"> </w:t>
      </w:r>
      <w:r>
        <w:rPr>
          <w:b/>
          <w:bCs/>
        </w:rPr>
        <w:t xml:space="preserve">low-to-mid-single-digit adjusted EPS growth</w:t>
      </w:r>
      <w:r>
        <w:t xml:space="preserve"> </w:t>
      </w:r>
      <w:r>
        <w:t xml:space="preserve">(vs. Q4 FY25's</w:t>
      </w:r>
      <w:r>
        <w:t xml:space="preserve"> </w:t>
      </w:r>
      <m:oMath>
        <m:r>
          <m:t>3.55</m:t>
        </m:r>
        <m:r>
          <m:rPr>
            <m:sty m:val="p"/>
          </m:rPr>
          <m:t>)</m:t>
        </m:r>
        <m:r>
          <m:t>t</m:t>
        </m:r>
        <m:r>
          <m:t>o</m:t>
        </m:r>
        <m:r>
          <m:t>l</m:t>
        </m:r>
        <m:r>
          <m:t>a</m:t>
        </m:r>
        <m:r>
          <m:t>n</m:t>
        </m:r>
        <m:r>
          <m:t>d</m:t>
        </m:r>
        <m:r>
          <m:t>t</m:t>
        </m:r>
        <m:r>
          <m:t>h</m:t>
        </m:r>
        <m:r>
          <m:t>e</m:t>
        </m:r>
        <m:r>
          <m:t>f</m:t>
        </m:r>
        <m:r>
          <m:t>u</m:t>
        </m:r>
        <m:r>
          <m:t>l</m:t>
        </m:r>
        <m:r>
          <m:t>l</m:t>
        </m:r>
        <m:r>
          <m:t>y</m:t>
        </m:r>
        <m:r>
          <m:t>e</m:t>
        </m:r>
        <m:r>
          <m:t>a</m:t>
        </m:r>
        <m:r>
          <m:t>r</m:t>
        </m:r>
        <m:r>
          <m:t>a</m:t>
        </m:r>
        <m:r>
          <m:t>t</m:t>
        </m:r>
        <m:r>
          <m:t>10</m:t>
        </m:r>
        <m:r>
          <m:rPr>
            <m:sty m:val="p"/>
          </m:rPr>
          <m:t>−</m:t>
        </m:r>
        <m:r>
          <m:t>12</m:t>
        </m:r>
      </m:oMath>
      <w:r>
        <w:t xml:space="preserve">9.41-</w:t>
      </w:r>
      <m:oMath>
        <m:r>
          <m:t>9.58</m:t>
        </m:r>
        <m:r>
          <m:rPr>
            <m:sty m:val="p"/>
          </m:rPr>
          <m:t>*</m:t>
        </m:r>
        <m:r>
          <m:rPr>
            <m:sty m:val="p"/>
          </m:rPr>
          <m:t>*</m:t>
        </m:r>
        <m:r>
          <m:rPr>
            <m:sty m:val="p"/>
          </m:rPr>
          <m:t>,</m:t>
        </m:r>
        <m:r>
          <m:t>c</m:t>
        </m:r>
        <m:r>
          <m:t>o</m:t>
        </m:r>
        <m:r>
          <m:t>n</m:t>
        </m:r>
        <m:r>
          <m:t>s</m:t>
        </m:r>
        <m:r>
          <m:t>i</m:t>
        </m:r>
        <m:r>
          <m:t>s</m:t>
        </m:r>
        <m:r>
          <m:t>t</m:t>
        </m:r>
        <m:r>
          <m:t>e</m:t>
        </m:r>
        <m:r>
          <m:t>n</m:t>
        </m:r>
        <m:r>
          <m:t>t</m:t>
        </m:r>
        <m:r>
          <m:t>w</m:t>
        </m:r>
        <m:r>
          <m:t>i</m:t>
        </m:r>
        <m:r>
          <m:t>t</m:t>
        </m:r>
        <m:r>
          <m:t>h</m:t>
        </m:r>
        <m:r>
          <m:t>t</m:t>
        </m:r>
        <m:r>
          <m:t>h</m:t>
        </m:r>
        <m:r>
          <m:t>e</m:t>
        </m:r>
        <m:r>
          <m:t>S</m:t>
        </m:r>
        <m:r>
          <m:t>t</m:t>
        </m:r>
        <m:r>
          <m:t>r</m:t>
        </m:r>
        <m:r>
          <m:t>e</m:t>
        </m:r>
        <m:r>
          <m:t>e</m:t>
        </m:r>
        <m:sSup>
          <m:e>
            <m:r>
              <m:t>t</m:t>
            </m:r>
          </m:e>
          <m:sup>
            <m:r>
              <m:rPr>
                <m:sty m:val="p"/>
              </m:rPr>
              <m:t>′</m:t>
            </m:r>
          </m:sup>
        </m:sSup>
        <m:r>
          <m:t>s</m:t>
        </m:r>
        <m:r>
          <m:t> </m:t>
        </m:r>
      </m:oMath>
      <w:r>
        <w:t xml:space="preserve">3.75 Q4 estimate. Confirming the top and bottom of that FY26 range is table stakes; the bigger swing factor is</w:t>
      </w:r>
      <w:r>
        <w:t xml:space="preserve"> </w:t>
      </w:r>
      <w:r>
        <w:rPr>
          <w:b/>
          <w:bCs/>
        </w:rPr>
        <w:t xml:space="preserve">initial FY27 guidance</w:t>
      </w:r>
      <w:r>
        <w:t xml:space="preserve">, which Broadridge typically issues alongside its Q4/full-year results. Given step-up investment spend flagged all year (tokenization, AI, shareholder engagement) and a softer sales year, watch whether management reiterates its "double-digit EPS growth" algorithm and multi-year targets, or tempers expectations given slower bookings.</w:t>
      </w:r>
    </w:p>
    <w:bookmarkEnd w:id="11"/>
    <w:bookmarkStart w:id="12" w:name="X06f50800d378c17cb93a3b96b32561e7a3a9f44"/>
    <w:p>
      <w:pPr>
        <w:pStyle w:val="Heading3"/>
      </w:pPr>
      <w:r>
        <w:t xml:space="preserve">2. Closed sales — did the "lengthening cycle" story improve or worsen?</w:t>
      </w:r>
    </w:p>
    <w:p>
      <w:pPr>
        <w:pStyle w:val="FirstParagraph"/>
      </w:pPr>
      <w:r>
        <w:t xml:space="preserve">This is the single biggest debate from the Q3 call. Management was explicit that demand/pipeline metrics (origination +25% y/y, pipeline &gt;$1B, platform deals now ~20% of the mix) remain healthy, but conversion timing has been unpredictable. Q4 closed sales, and any qualitative commentary on deal closure cadence heading into fiscal 2027, will be the key swing factor for how the market re-rates the bookings/backlog growth algorithm.</w:t>
      </w:r>
    </w:p>
    <w:bookmarkEnd w:id="12"/>
    <w:bookmarkStart w:id="13" w:name="X4585cf814880b688e882a46c9c462f00f4b26be"/>
    <w:p>
      <w:pPr>
        <w:pStyle w:val="Heading3"/>
      </w:pPr>
      <w:r>
        <w:t xml:space="preserve">3. Position growth and proxy season execution</w:t>
      </w:r>
    </w:p>
    <w:p>
      <w:pPr>
        <w:pStyle w:val="FirstParagraph"/>
      </w:pPr>
      <w:r>
        <w:t xml:space="preserve">As of the Q3 call, Broadridge had already received</w:t>
      </w:r>
      <w:r>
        <w:t xml:space="preserve"> </w:t>
      </w:r>
      <w:r>
        <w:rPr>
          <w:b/>
          <w:bCs/>
        </w:rPr>
        <w:t xml:space="preserve">records for 93% of full-year proxy positions</w:t>
      </w:r>
      <w:r>
        <w:t xml:space="preserve">, giving high visibility into Q4 regulatory revenue. Management guided to low-double-digit equity revenue position growth and mid-to-high-single-digit fund position growth for Q4 — actual prints here (plus any event-driven "tentpole" activity from M&amp;A proxy contests or fund communications) will validate the ICS growth engine.</w:t>
      </w:r>
    </w:p>
    <w:bookmarkEnd w:id="13"/>
    <w:bookmarkStart w:id="14" w:name="Xb4aa64e839512cc4a9d5aa6cc1ef8efb2fdf0fd"/>
    <w:p>
      <w:pPr>
        <w:pStyle w:val="Heading3"/>
      </w:pPr>
      <w:r>
        <w:t xml:space="preserve">4. Margin trajectory and the investment cadence</w:t>
      </w:r>
    </w:p>
    <w:p>
      <w:pPr>
        <w:pStyle w:val="FirstParagraph"/>
      </w:pPr>
      <w:r>
        <w:t xml:space="preserve">Adjusted operating margin compressed 90 bps y/y in Q3 to 21.5%, driven by higher distribution revenue mix and lower float income, and management guided to "a similar margin dynamic" in Q4 as it deliberately front-loads investment in tokenization, AI and shareholder-engagement products. Confirming margin lands within the 20-21% full-year guide — while still delivering double-digit EPS growth — is the proof point that the investment/return trade-off is working.</w:t>
      </w:r>
    </w:p>
    <w:bookmarkEnd w:id="14"/>
    <w:bookmarkStart w:id="15" w:name="X9e55347d77ff1f83ce3a53bfb7908674eca7368"/>
    <w:p>
      <w:pPr>
        <w:pStyle w:val="Heading3"/>
      </w:pPr>
      <w:r>
        <w:t xml:space="preserve">5. Strategic growth pillars: tokenization, digitization, AI</w:t>
      </w:r>
    </w:p>
    <w:p>
      <w:pPr>
        <w:pStyle w:val="FirstParagraph"/>
      </w:pPr>
      <w:r>
        <w:t xml:space="preserve">These were the dominant narrative themes on the Q3 call and are likely to remain front-and-center:</w:t>
      </w:r>
    </w:p>
    <w:p>
      <w:pPr>
        <w:pStyle w:val="Compact"/>
        <w:numPr>
          <w:ilvl w:val="0"/>
          <w:numId w:val="1002"/>
        </w:numPr>
      </w:pPr>
      <w:r>
        <w:rPr>
          <w:b/>
          <w:bCs/>
        </w:rPr>
        <w:t xml:space="preserve">Tokenization</w:t>
      </w:r>
      <w:r>
        <w:t xml:space="preserve">: Broadridge's Distributed Ledger Repo (DLR) platform was tokenizing more than</w:t>
      </w:r>
      <w:r>
        <w:t xml:space="preserve"> </w:t>
      </w:r>
      <w:r>
        <w:t xml:space="preserve">$350 billion per day as of Q3, plus early Canton Network "super validator" revenue ($</w:t>
      </w:r>
      <w:r>
        <w:t xml:space="preserve">3.5M in Q3) and a slate of governance partnerships (Galaxy, Ondo) positioning Broadridge across issuer-sponsored, intermediary-led and synthetic tokenization models.</w:t>
      </w:r>
    </w:p>
    <w:p>
      <w:pPr>
        <w:pStyle w:val="Compact"/>
        <w:numPr>
          <w:ilvl w:val="0"/>
          <w:numId w:val="1002"/>
        </w:numPr>
      </w:pPr>
      <w:r>
        <w:rPr>
          <w:b/>
          <w:bCs/>
        </w:rPr>
        <w:t xml:space="preserve">Digitization of communications</w:t>
      </w:r>
      <w:r>
        <w:t xml:space="preserve">: management flagged that the SEC may propose shifting investor communications to a digital default, which it expects to be "broadly neutral" to revenue/earnings — a modest headwind to low/no-margin distribution revenue offset by new digital product demand.</w:t>
      </w:r>
    </w:p>
    <w:p>
      <w:pPr>
        <w:pStyle w:val="Compact"/>
        <w:numPr>
          <w:ilvl w:val="0"/>
          <w:numId w:val="1002"/>
        </w:numPr>
      </w:pPr>
      <w:r>
        <w:rPr>
          <w:b/>
          <w:bCs/>
        </w:rPr>
        <w:t xml:space="preserve">AI</w:t>
      </w:r>
      <w:r>
        <w:t xml:space="preserve">: productivity gains in managed services (25% achieved, targeting 50%) and new AI-native products like the custom policy voting engine and global demand model are being framed as both a defensive moat (countering "build vs. buy" and disruption narratives) and a new sales driver.</w:t>
      </w:r>
    </w:p>
    <w:bookmarkEnd w:id="15"/>
    <w:bookmarkStart w:id="16" w:name="Xce5e8795e2198966160f72fb0724a8bb56e66d1"/>
    <w:p>
      <w:pPr>
        <w:pStyle w:val="Heading3"/>
      </w:pPr>
      <w:r>
        <w:t xml:space="preserve">6. Capital allocation cadence</w:t>
      </w:r>
    </w:p>
    <w:p>
      <w:pPr>
        <w:pStyle w:val="FirstParagraph"/>
      </w:pPr>
      <w:r>
        <w:t xml:space="preserve">With free cash flow tracking well ahead of last year ($591M through nine months vs. $393M a year ago) and leverage below target, expect continued disclosure on Q4 buyback activity (management signaled Q4 could be "a record" buyback year), further tuck-in M&amp;A, and the customary annual dividend increase announcement — Broadridge raised its dividend 11% last August, its 19th consecutive annual increase.</w:t>
      </w:r>
    </w:p>
    <w:p>
      <w:r>
        <w:pict>
          <v:rect style="width:0;height:1.5pt" o:hralign="center" o:hrstd="t" o:hr="t"/>
        </w:pict>
      </w:r>
    </w:p>
    <w:bookmarkEnd w:id="16"/>
    <w:bookmarkEnd w:id="17"/>
    <w:bookmarkStart w:id="18" w:name="bottom-line-for-investors"/>
    <w:p>
      <w:pPr>
        <w:pStyle w:val="Heading2"/>
      </w:pPr>
      <w:r>
        <w:t xml:space="preserve">Bottom Line for Investors</w:t>
      </w:r>
    </w:p>
    <w:p>
      <w:pPr>
        <w:pStyle w:val="FirstParagraph"/>
      </w:pPr>
      <w:r>
        <w:t xml:space="preserve">Broadridge goes into this print with a fundamentally consistent story — high-visibility recurring revenue, resilient position growth, disciplined capital returns, and credible options in tokenization/AI — set against a stock that has materially de-rated on bookings softness, sales-cycle elongation, and broader "AI disruption" fears despite management's insistence that none of that is showing up in client demand. The print itself (EPS/revenue vs. ~</w:t>
      </w:r>
      <m:oMath>
        <m:r>
          <m:t>3.75</m:t>
        </m:r>
        <m:r>
          <m:rPr>
            <m:sty m:val="p"/>
          </m:rPr>
          <m:t>/</m:t>
        </m:r>
        <m:r>
          <m:t> </m:t>
        </m:r>
      </m:oMath>
      <w:r>
        <w:t xml:space="preserve">2.17B consensus) matters less than</w:t>
      </w:r>
      <w:r>
        <w:t xml:space="preserve"> </w:t>
      </w:r>
      <w:r>
        <w:rPr>
          <w:b/>
          <w:bCs/>
        </w:rPr>
        <w:t xml:space="preserve">(1) closed sales trends and forward commentary on deal conversion, (2) initial FY27 guidance</w:t>
      </w:r>
      <w:r>
        <w:t xml:space="preserve">, and</w:t>
      </w:r>
      <w:r>
        <w:t xml:space="preserve"> </w:t>
      </w:r>
      <w:r>
        <w:rPr>
          <w:b/>
          <w:bCs/>
        </w:rPr>
        <w:t xml:space="preserve">(3) any incremental color on how tokenization/digitization/AI investments are translating into bookings</w:t>
      </w:r>
      <w:r>
        <w:t xml:space="preserve"> </w:t>
      </w:r>
      <w:r>
        <w:t xml:space="preserve">— these are the levers most likely to move both consensus estimates and the stock's valuation multiple from here.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2026-08-04T00:55:42Z</dcterms:created>
  <dcterms:modified xsi:type="dcterms:W3CDTF">2026-08-04T00:55:42Z</dcterms:modified>
</cp:coreProperties>
</file>

<file path=docProps/custom.xml><?xml version="1.0" encoding="utf-8"?>
<Properties xmlns="http://schemas.openxmlformats.org/officeDocument/2006/custom-properties" xmlns:vt="http://schemas.openxmlformats.org/officeDocument/2006/docPropsVTypes"/>
</file>