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-earnings-predictions--2026-08-04"/>
    <w:p>
      <w:pPr>
        <w:pStyle w:val="Heading1"/>
      </w:pPr>
      <w:r>
        <w:t xml:space="preserve">BR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~$3.78 vs. cons $3.76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FY2026 recurring-revenue growth, constant currency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~7.0% vs. cons 7.0%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FY2026 closed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~$252M vs. cons $265M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recurring-revenue growth, constant currency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~6.0% midpoint vs. cons 6.5%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~10.0% midpoint vs. cons 11.0%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closed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~$300M midpoint vs. cons $320M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-6.3% (FOLLOW-THROUGH)</w:t>
            </w:r>
          </w:p>
        </w:tc>
        <w:tc>
          <w:tcPr/>
          <w:p>
            <w:pPr>
              <w:pStyle w:val="Compact"/>
            </w:pPr>
            <w:r>
              <w:t xml:space="preserve">A roughly in-line Q4 is outweighed by FY2026 closed sales of ~$252M versus $265M consensus and FY2027 EPS-growth guidance of ~10.0% versus 11.0%; the implied out-period estimate cuts should extend the initial selloff as models reset.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2026-08-04T00:53:32Z</dcterms:created>
  <dcterms:modified xsi:type="dcterms:W3CDTF">2026-08-04T00:53:32Z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