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91ea0c444fe01306aae3bbaa771e7954edbef3d"/>
    <w:p>
      <w:pPr>
        <w:pStyle w:val="Heading1"/>
      </w:pPr>
      <w:r>
        <w:t xml:space="preserve">Broadridge Financial Solutions (NYSE: BR) — Fiscal Q4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Broadridge is scheduled to report</w:t>
      </w:r>
      <w:r>
        <w:t xml:space="preserve"> </w:t>
      </w:r>
      <w:r>
        <w:rPr>
          <w:b/>
          <w:bCs/>
        </w:rPr>
        <w:t xml:space="preserve">today, Tuesday, August 4, 2026</w:t>
      </w:r>
      <w:r>
        <w:t xml:space="preserve">, with its conference call at</w:t>
      </w:r>
      <w:r>
        <w:t xml:space="preserve"> </w:t>
      </w:r>
      <w:r>
        <w:rPr>
          <w:b/>
          <w:bCs/>
        </w:rPr>
        <w:t xml:space="preserve">8:30 a.m. ET</w:t>
      </w:r>
      <w:r>
        <w:t xml:space="preserve">—not tomorrow. This preview assumes the results have not yet been released. (</w:t>
      </w:r>
      <w:hyperlink r:id="rId9">
        <w:r>
          <w:rPr>
            <w:rStyle w:val="Hyperlink"/>
          </w:rPr>
          <w:t xml:space="preserve">broadridge-ir.com</w:t>
        </w:r>
      </w:hyperlink>
      <w:r>
        <w:t xml:space="preserve">)</w:t>
      </w:r>
    </w:p>
    <w:bookmarkStart w:id="11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This report is less about whether Broadridge can finish fiscal 2026 within guidance and more about whether management can restore confidence in the</w:t>
      </w:r>
      <w:r>
        <w:t xml:space="preserve"> </w:t>
      </w:r>
      <w:r>
        <w:rPr>
          <w:b/>
          <w:bCs/>
        </w:rPr>
        <w:t xml:space="preserve">fiscal 2027 growth outlook and long-term competitive position</w:t>
      </w:r>
      <w:r>
        <w:t xml:space="preserve">.</w:t>
      </w:r>
    </w:p>
    <w:p>
      <w:pPr>
        <w:pStyle w:val="BodyText"/>
      </w:pPr>
      <w:r>
        <w:t xml:space="preserve">The operating performance entering Q4 is solid:</w:t>
      </w:r>
    </w:p>
    <w:p>
      <w:pPr>
        <w:pStyle w:val="Compact"/>
        <w:numPr>
          <w:ilvl w:val="0"/>
          <w:numId w:val="1001"/>
        </w:numPr>
      </w:pPr>
      <w:r>
        <w:t xml:space="preserve">Nine-month recurring revenue increased</w:t>
      </w:r>
      <w:r>
        <w:t xml:space="preserve"> </w:t>
      </w:r>
      <w:r>
        <w:rPr>
          <w:b/>
          <w:bCs/>
        </w:rPr>
        <w:t xml:space="preserve">7% in constant currency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Nine-month adjusted EPS rose</w:t>
      </w:r>
      <w:r>
        <w:t xml:space="preserve"> </w:t>
      </w:r>
      <w:r>
        <w:rPr>
          <w:b/>
          <w:bCs/>
        </w:rPr>
        <w:t xml:space="preserve">16% to $5.81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Management raised full-year recurring-revenue guidance to</w:t>
      </w:r>
      <w:r>
        <w:t xml:space="preserve"> </w:t>
      </w:r>
      <w:r>
        <w:rPr>
          <w:b/>
          <w:bCs/>
        </w:rPr>
        <w:t xml:space="preserve">at least 7%</w:t>
      </w:r>
      <w:r>
        <w:t xml:space="preserve"> </w:t>
      </w:r>
      <w:r>
        <w:t xml:space="preserve">and adjusted-EPS growth to</w:t>
      </w:r>
      <w:r>
        <w:t xml:space="preserve"> </w:t>
      </w:r>
      <w:r>
        <w:rPr>
          <w:b/>
          <w:bCs/>
        </w:rPr>
        <w:t xml:space="preserve">10%–12%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Conversely, closed-sales guidance was reduced to</w:t>
      </w:r>
      <w:r>
        <w:t xml:space="preserve"> </w:t>
      </w:r>
      <m:oMath>
        <m:r>
          <m:t>240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290 million</w:t>
      </w:r>
      <w:r>
        <w:t xml:space="preserve">, from</w:t>
      </w:r>
      <w:r>
        <w:t xml:space="preserve"> </w:t>
      </w:r>
      <m:oMath>
        <m:r>
          <m:t>290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330 million, because large platform deals were taking longer to close.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FirstParagraph"/>
      </w:pPr>
      <w:r>
        <w:t xml:space="preserve">The stock tells a much more cautious story. BR closed August 3 at $157.37, down approximately</w:t>
      </w:r>
      <w:r>
        <w:t xml:space="preserve"> </w:t>
      </w:r>
      <w:r>
        <w:rPr>
          <w:b/>
          <w:bCs/>
        </w:rPr>
        <w:t xml:space="preserve">37% from August 4, 2025</w:t>
      </w:r>
      <w:r>
        <w:t xml:space="preserve">, while SPY gained about 20% over the same period. At that price, BR trades at roughly</w:t>
      </w:r>
      <w:r>
        <w:t xml:space="preserve"> </w:t>
      </w:r>
      <w:r>
        <w:rPr>
          <w:b/>
          <w:bCs/>
        </w:rPr>
        <w:t xml:space="preserve">16.4–16.7 times</w:t>
      </w:r>
      <w:r>
        <w:t xml:space="preserve"> </w:t>
      </w:r>
      <w:r>
        <w:t xml:space="preserve">management’s implied fiscal 2026 adjusted EPS range—well below the premium traditionally associated with its recurring revenue, high retention and cash conversion.</w:t>
      </w:r>
    </w:p>
    <w:p>
      <w:pPr>
        <w:pStyle w:val="BodyText"/>
      </w:pPr>
      <w:r>
        <w:t xml:space="preserve">That valuation reset makes the risk/reward unusually sensitive to fiscal 2027 guidance. A merely in-line quarter accompanied by reassuring guidance could work; an EPS beat paired with weak sales or a cautious outlook probably will not.</w:t>
      </w:r>
    </w:p>
    <w:bookmarkEnd w:id="11"/>
    <w:bookmarkStart w:id="14" w:name="expectations-and-implied-targets"/>
    <w:p>
      <w:pPr>
        <w:pStyle w:val="Heading2"/>
      </w:pPr>
      <w:r>
        <w:t xml:space="preserve">Expectations and implied targets</w:t>
      </w:r>
    </w:p>
    <w:p>
      <w:pPr>
        <w:pStyle w:val="FirstParagraph"/>
      </w:pPr>
      <w:r>
        <w:t xml:space="preserve">Third-party consensus estimates vary slightly, but the central expectation is approximately</w:t>
      </w:r>
      <w:r>
        <w:t xml:space="preserve"> </w:t>
      </w:r>
      <m:oMath>
        <m:r>
          <m:t>3.75</m:t>
        </m:r>
        <m:r>
          <m:rPr>
            <m:sty m:val="p"/>
          </m:rPr>
          <m:t>–</m:t>
        </m:r>
      </m:oMath>
      <w:r>
        <w:rPr>
          <w:b/>
          <w:bCs/>
        </w:rPr>
        <w:t xml:space="preserve">3.76 of adjusted EPS and $2.17 billion of revenue</w:t>
      </w:r>
      <w:r>
        <w:t xml:space="preserve">. The revenue estimate implies roughly 5% year-over-year growth. (</w:t>
      </w:r>
      <w:hyperlink r:id="rId12">
        <w:r>
          <w:rPr>
            <w:rStyle w:val="Hyperlink"/>
          </w:rPr>
          <w:t xml:space="preserve">marketbeat.com</w:t>
        </w:r>
      </w:hyperlink>
      <w:r>
        <w:t xml:space="preserve">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Reference 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m:oMath>
              <m:r>
                <m:t>3.75</m:t>
              </m:r>
              <m:r>
                <m:rPr>
                  <m:sty m:val="p"/>
                </m:rPr>
                <m:t>–</m:t>
              </m:r>
            </m:oMath>
            <w:r>
              <w:t xml:space="preserve">3.76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~$2.17B</w:t>
            </w:r>
          </w:p>
        </w:tc>
      </w:tr>
      <w:tr>
        <w:tc>
          <w:tcPr/>
          <w:p>
            <w:pPr>
              <w:pStyle w:val="Compact"/>
            </w:pPr>
            <w:r>
              <w:t xml:space="preserve">Q4 FY25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Q4 FY25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$2.065B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recurring-revenue growth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At least 7%, constant currency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20%–21%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adjusted-EPS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10%–12%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closed-sales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240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290M</w:t>
            </w:r>
          </w:p>
        </w:tc>
      </w:tr>
    </w:tbl>
    <w:p>
      <w:pPr>
        <w:pStyle w:val="BodyText"/>
      </w:pPr>
      <w:r>
        <w:t xml:space="preserve">Broadridge earned $5.81 of adjusted EPS through the first nine months. Applying its 10%–12% full-year growth target to fiscal 2025 adjusted EPS of</w:t>
      </w:r>
      <w:r>
        <w:t xml:space="preserve"> </w:t>
      </w:r>
      <m:oMath>
        <m:r>
          <m:t>8.55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3.60–$3.77 in Q4 adjusted EPS**. In other words, the Street’s roughly $3.75 estimate already sits near the upper end of management’s implied range. (</w:t>
      </w:r>
      <w:hyperlink r:id="rId13">
        <w:r>
          <w:rPr>
            <w:rStyle w:val="Hyperlink"/>
          </w:rPr>
          <w:t xml:space="preserve">broadridge-ir.com</w:t>
        </w:r>
      </w:hyperlink>
      <w:r>
        <w:t xml:space="preserve">)</w:t>
      </w:r>
    </w:p>
    <w:p>
      <w:pPr>
        <w:pStyle w:val="BodyText"/>
      </w:pPr>
      <w:r>
        <w:t xml:space="preserve">That means the hurdle is not especially low despite the stock’s decline.</w:t>
      </w:r>
    </w:p>
    <w:bookmarkEnd w:id="14"/>
    <w:bookmarkStart w:id="21" w:name="what-matters-most"/>
    <w:p>
      <w:pPr>
        <w:pStyle w:val="Heading2"/>
      </w:pPr>
      <w:r>
        <w:t xml:space="preserve">What matters most</w:t>
      </w:r>
    </w:p>
    <w:bookmarkStart w:id="15" w:name="Xa6b9e8ae0b6591e08020f558ab6ce6367dc7a4a"/>
    <w:p>
      <w:pPr>
        <w:pStyle w:val="Heading3"/>
      </w:pPr>
      <w:r>
        <w:t xml:space="preserve">1. Fiscal 2027 guidance</w:t>
      </w:r>
    </w:p>
    <w:p>
      <w:pPr>
        <w:pStyle w:val="FirstParagraph"/>
      </w:pPr>
      <w:r>
        <w:t xml:space="preserve">This is the central event.</w:t>
      </w:r>
    </w:p>
    <w:p>
      <w:pPr>
        <w:pStyle w:val="BodyText"/>
      </w:pPr>
      <w:r>
        <w:t xml:space="preserve">Broadridge has historically framed its model around mid- to high-single-digit recurring-revenue growth, operating leverage and high-single- to low-double-digit adjusted-EPS growth. Investors will want evidence that this algorithm remains intact after:</w:t>
      </w:r>
    </w:p>
    <w:p>
      <w:pPr>
        <w:pStyle w:val="Compact"/>
        <w:numPr>
          <w:ilvl w:val="0"/>
          <w:numId w:val="1002"/>
        </w:numPr>
      </w:pPr>
      <w:r>
        <w:t xml:space="preserve">The fiscal 2026 sales slowdown.</w:t>
      </w:r>
    </w:p>
    <w:p>
      <w:pPr>
        <w:pStyle w:val="Compact"/>
        <w:numPr>
          <w:ilvl w:val="0"/>
          <w:numId w:val="1002"/>
        </w:numPr>
      </w:pPr>
      <w:r>
        <w:t xml:space="preserve">Increased spending on AI, tokenization and shareholder engagement.</w:t>
      </w:r>
    </w:p>
    <w:p>
      <w:pPr>
        <w:pStyle w:val="Compact"/>
        <w:numPr>
          <w:ilvl w:val="0"/>
          <w:numId w:val="1002"/>
        </w:numPr>
      </w:pPr>
      <w:r>
        <w:t xml:space="preserve">Pressure from lower software license revenue.</w:t>
      </w:r>
    </w:p>
    <w:p>
      <w:pPr>
        <w:pStyle w:val="Compact"/>
        <w:numPr>
          <w:ilvl w:val="0"/>
          <w:numId w:val="1002"/>
        </w:numPr>
      </w:pPr>
      <w:r>
        <w:t xml:space="preserve">Concerns that tokenization or digital-default rules could disrupt parts of the legacy communications model.</w:t>
      </w:r>
    </w:p>
    <w:p>
      <w:pPr>
        <w:pStyle w:val="FirstParagraph"/>
      </w:pPr>
      <w:r>
        <w:t xml:space="preserve">A constructive initial outlook would likely include:</w:t>
      </w:r>
    </w:p>
    <w:p>
      <w:pPr>
        <w:pStyle w:val="Compact"/>
        <w:numPr>
          <w:ilvl w:val="0"/>
          <w:numId w:val="1003"/>
        </w:numPr>
      </w:pPr>
      <w:r>
        <w:t xml:space="preserve">Recurring-revenue growth around the company’s historical</w:t>
      </w:r>
      <w:r>
        <w:t xml:space="preserve"> </w:t>
      </w:r>
      <w:r>
        <w:rPr>
          <w:b/>
          <w:bCs/>
        </w:rPr>
        <w:t xml:space="preserve">5%–7%</w:t>
      </w:r>
      <w:r>
        <w:t xml:space="preserve"> </w:t>
      </w:r>
      <w:r>
        <w:t xml:space="preserve">range, preferably toward the upper half.</w:t>
      </w:r>
    </w:p>
    <w:p>
      <w:pPr>
        <w:pStyle w:val="Compact"/>
        <w:numPr>
          <w:ilvl w:val="0"/>
          <w:numId w:val="1003"/>
        </w:numPr>
      </w:pPr>
      <w:r>
        <w:t xml:space="preserve">Adjusted-EPS growth consistent with the traditional</w:t>
      </w:r>
      <w:r>
        <w:t xml:space="preserve"> </w:t>
      </w:r>
      <w:r>
        <w:rPr>
          <w:b/>
          <w:bCs/>
        </w:rPr>
        <w:t xml:space="preserve">8%–12%</w:t>
      </w:r>
      <w:r>
        <w:t xml:space="preserve"> </w:t>
      </w:r>
      <w:r>
        <w:t xml:space="preserve">framework.</w:t>
      </w:r>
    </w:p>
    <w:p>
      <w:pPr>
        <w:pStyle w:val="Compact"/>
        <w:numPr>
          <w:ilvl w:val="0"/>
          <w:numId w:val="1003"/>
        </w:numPr>
      </w:pPr>
      <w:r>
        <w:t xml:space="preserve">A clear explanation of how backlog conversion, position growth, acquisitions and productivity offset slower fiscal 2026 sales.</w:t>
      </w:r>
    </w:p>
    <w:p>
      <w:pPr>
        <w:pStyle w:val="FirstParagraph"/>
      </w:pPr>
      <w:r>
        <w:t xml:space="preserve">Guidance below 5% recurring growth—or an EPS outlook dependent primarily on buybacks, tax or cost reductions—would reinforce concerns that the underlying growth rate is weakening.</w:t>
      </w:r>
    </w:p>
    <w:bookmarkEnd w:id="15"/>
    <w:bookmarkStart w:id="16" w:name="X6e1d87e796d183e40536dd844000c2b7cb7b607"/>
    <w:p>
      <w:pPr>
        <w:pStyle w:val="Heading3"/>
      </w:pPr>
      <w:r>
        <w:t xml:space="preserve">2. Closed sales and backlog quality</w:t>
      </w:r>
    </w:p>
    <w:p>
      <w:pPr>
        <w:pStyle w:val="FirstParagraph"/>
      </w:pPr>
      <w:r>
        <w:t xml:space="preserve">This is the most important Q4 operating metric.</w:t>
      </w:r>
    </w:p>
    <w:p>
      <w:pPr>
        <w:pStyle w:val="BodyText"/>
      </w:pPr>
      <w:r>
        <w:t xml:space="preserve">Broadridge recorded</w:t>
      </w:r>
      <w:r>
        <w:t xml:space="preserve"> </w:t>
      </w:r>
      <m:oMath>
        <m:r>
          <m:t>146.8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n</m:t>
        </m:r>
        <m:r>
          <m:t>i</m:t>
        </m:r>
        <m:r>
          <m:t>n</m:t>
        </m:r>
        <m:r>
          <m:t>e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s</m:t>
        </m:r>
        <m:r>
          <m:rPr>
            <m:sty m:val="p"/>
          </m:rPr>
          <m:t>.</m:t>
        </m:r>
        <m:r>
          <m:t>I</m:t>
        </m:r>
        <m:r>
          <m:t>t</m:t>
        </m:r>
        <m:r>
          <m:t>t</m:t>
        </m:r>
        <m:r>
          <m:t>h</m:t>
        </m:r>
        <m:r>
          <m:t>e</m:t>
        </m:r>
        <m:r>
          <m:t>r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93 million–$143 million in Q4</w:t>
      </w:r>
      <w:r>
        <w:t xml:space="preserve"> </w:t>
      </w:r>
      <w:r>
        <w:t xml:space="preserve">to reach its revised full-year range. For context, Q4 fiscal 2025 sales were $114 million. (</w:t>
      </w:r>
      <w:hyperlink r:id="rId13">
        <w:r>
          <w:rPr>
            <w:rStyle w:val="Hyperlink"/>
          </w:rPr>
          <w:t xml:space="preserve">broadridge-ir.com</w:t>
        </w:r>
      </w:hyperlink>
      <w:r>
        <w:t xml:space="preserve">)</w:t>
      </w:r>
    </w:p>
    <w:p>
      <w:pPr>
        <w:pStyle w:val="BodyText"/>
      </w:pPr>
      <w:r>
        <w:t xml:space="preserve">The result should be evaluated on three levels: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Headline sales:</w:t>
      </w:r>
      <w:r>
        <w:t xml:space="preserve"> </w:t>
      </w:r>
      <w:r>
        <w:t xml:space="preserve">Did BR reach at least the midpoint of revised guidance?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Composition:</w:t>
      </w:r>
      <w:r>
        <w:t xml:space="preserve"> </w:t>
      </w:r>
      <w:r>
        <w:t xml:space="preserve">Were wins concentrated in strategic platforms, wealth management, digital communications and post-trade solutions?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Timing:</w:t>
      </w:r>
      <w:r>
        <w:t xml:space="preserve"> </w:t>
      </w:r>
      <w:r>
        <w:t xml:space="preserve">Did delayed deals close, or merely move into fiscal 2027?</w:t>
      </w:r>
    </w:p>
    <w:p>
      <w:pPr>
        <w:pStyle w:val="FirstParagraph"/>
      </w:pPr>
      <w:r>
        <w:t xml:space="preserve">Management said the pipeline exceeded $1 billion and was about 20% higher year over year at the end of Q3. That is encouraging, but investors now need conversion rather than another pipeline assurance.</w:t>
      </w:r>
    </w:p>
    <w:p>
      <w:pPr>
        <w:pStyle w:val="BodyText"/>
      </w:pPr>
      <w:r>
        <w:t xml:space="preserve">A strong fiscal 2027 sales outlook could offset a low-end fiscal 2026 finish. Another guidance reduction or vague commentary on decision cycles would be a material negative.</w:t>
      </w:r>
    </w:p>
    <w:bookmarkEnd w:id="16"/>
    <w:bookmarkStart w:id="17" w:name="X47031e51e81a849b5cc52f25e9fd902d7793618"/>
    <w:p>
      <w:pPr>
        <w:pStyle w:val="Heading3"/>
      </w:pPr>
      <w:r>
        <w:t xml:space="preserve">3. Recurring-revenue durability</w:t>
      </w:r>
    </w:p>
    <w:p>
      <w:pPr>
        <w:pStyle w:val="FirstParagraph"/>
      </w:pPr>
      <w:r>
        <w:t xml:space="preserve">Broadridge’s headline revenue includes event-driven and low-margin distribution revenue, so</w:t>
      </w:r>
      <w:r>
        <w:t xml:space="preserve"> </w:t>
      </w:r>
      <w:r>
        <w:rPr>
          <w:b/>
          <w:bCs/>
        </w:rPr>
        <w:t xml:space="preserve">recurring revenue is the cleaner indicator of franchise health</w:t>
      </w:r>
      <w:r>
        <w:t xml:space="preserve">.</w:t>
      </w:r>
    </w:p>
    <w:p>
      <w:pPr>
        <w:pStyle w:val="BodyText"/>
      </w:pPr>
      <w:r>
        <w:t xml:space="preserve">At Q3:</w:t>
      </w:r>
    </w:p>
    <w:p>
      <w:pPr>
        <w:pStyle w:val="Compact"/>
        <w:numPr>
          <w:ilvl w:val="0"/>
          <w:numId w:val="1005"/>
        </w:numPr>
      </w:pPr>
      <w:r>
        <w:t xml:space="preserve">ICS recurring revenue grew</w:t>
      </w:r>
      <w:r>
        <w:t xml:space="preserve"> </w:t>
      </w:r>
      <w:r>
        <w:rPr>
          <w:b/>
          <w:bCs/>
        </w:rPr>
        <w:t xml:space="preserve">8% constant currency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Governance regulatory revenue grew 9%.</w:t>
      </w:r>
    </w:p>
    <w:p>
      <w:pPr>
        <w:pStyle w:val="Compact"/>
        <w:numPr>
          <w:ilvl w:val="0"/>
          <w:numId w:val="1005"/>
        </w:numPr>
      </w:pPr>
      <w:r>
        <w:t xml:space="preserve">Equity revenue positions grew 11%.</w:t>
      </w:r>
    </w:p>
    <w:p>
      <w:pPr>
        <w:pStyle w:val="Compact"/>
        <w:numPr>
          <w:ilvl w:val="0"/>
          <w:numId w:val="1005"/>
        </w:numPr>
      </w:pPr>
      <w:r>
        <w:t xml:space="preserve">Mutual-fund and ETF positions grew 6%.</w:t>
      </w:r>
    </w:p>
    <w:p>
      <w:pPr>
        <w:pStyle w:val="Compact"/>
        <w:numPr>
          <w:ilvl w:val="0"/>
          <w:numId w:val="1005"/>
        </w:numPr>
      </w:pPr>
      <w:r>
        <w:t xml:space="preserve">GTO recurring revenue grew only</w:t>
      </w:r>
      <w:r>
        <w:t xml:space="preserve"> </w:t>
      </w:r>
      <w:r>
        <w:rPr>
          <w:b/>
          <w:bCs/>
        </w:rPr>
        <w:t xml:space="preserve">3% constant currency</w:t>
      </w:r>
      <w:r>
        <w:t xml:space="preserve">, with healthy underlying capital-markets performance obscured by lower license revenue.</w:t>
      </w:r>
    </w:p>
    <w:p>
      <w:pPr>
        <w:pStyle w:val="Compact"/>
        <w:numPr>
          <w:ilvl w:val="0"/>
          <w:numId w:val="1005"/>
        </w:numPr>
      </w:pPr>
      <w:r>
        <w:t xml:space="preserve">Wealth and investment management grew 8% constant currency. (</w:t>
      </w:r>
      <w:hyperlink r:id="rId13">
        <w:r>
          <w:rPr>
            <w:rStyle w:val="Hyperlink"/>
          </w:rPr>
          <w:t xml:space="preserve">broadridge-ir.com</w:t>
        </w:r>
      </w:hyperlink>
      <w:r>
        <w:t xml:space="preserve">)</w:t>
      </w:r>
    </w:p>
    <w:p>
      <w:pPr>
        <w:pStyle w:val="FirstParagraph"/>
      </w:pPr>
      <w:r>
        <w:t xml:space="preserve">For Q4, management had indicated:</w:t>
      </w:r>
    </w:p>
    <w:p>
      <w:pPr>
        <w:pStyle w:val="Compact"/>
        <w:numPr>
          <w:ilvl w:val="0"/>
          <w:numId w:val="1006"/>
        </w:numPr>
      </w:pPr>
      <w:r>
        <w:t xml:space="preserve">Continued low-double-digit equity revenue-position growth.</w:t>
      </w:r>
    </w:p>
    <w:p>
      <w:pPr>
        <w:pStyle w:val="Compact"/>
        <w:numPr>
          <w:ilvl w:val="0"/>
          <w:numId w:val="1006"/>
        </w:numPr>
      </w:pPr>
      <w:r>
        <w:t xml:space="preserve">Mid- to high-single-digit fund-position growth.</w:t>
      </w:r>
    </w:p>
    <w:p>
      <w:pPr>
        <w:pStyle w:val="Compact"/>
        <w:numPr>
          <w:ilvl w:val="0"/>
          <w:numId w:val="1006"/>
        </w:numPr>
      </w:pPr>
      <w:r>
        <w:t xml:space="preserve">A contribution from the CQG acquisition.</w:t>
      </w:r>
    </w:p>
    <w:p>
      <w:pPr>
        <w:pStyle w:val="Compact"/>
        <w:numPr>
          <w:ilvl w:val="0"/>
          <w:numId w:val="1006"/>
        </w:numPr>
      </w:pPr>
      <w:r>
        <w:t xml:space="preserve">A license-revenue headwind in wealth management.</w:t>
      </w:r>
    </w:p>
    <w:p>
      <w:pPr>
        <w:pStyle w:val="FirstParagraph"/>
      </w:pPr>
      <w:r>
        <w:t xml:space="preserve">An attractive result would show</w:t>
      </w:r>
      <w:r>
        <w:t xml:space="preserve"> </w:t>
      </w:r>
      <w:r>
        <w:rPr>
          <w:b/>
          <w:bCs/>
        </w:rPr>
        <w:t xml:space="preserve">mid-single-digit or better consolidated recurring growth</w:t>
      </w:r>
      <w:r>
        <w:t xml:space="preserve">, with strength broad enough to extend beyond position-related governance revenue.</w:t>
      </w:r>
    </w:p>
    <w:bookmarkEnd w:id="17"/>
    <w:bookmarkStart w:id="18" w:name="Xa18f08a308037783c49a6aed9540d8972123ab1"/>
    <w:p>
      <w:pPr>
        <w:pStyle w:val="Heading3"/>
      </w:pPr>
      <w:r>
        <w:t xml:space="preserve">4. Tokenization: opportunity or disruption?</w:t>
      </w:r>
    </w:p>
    <w:p>
      <w:pPr>
        <w:pStyle w:val="FirstParagraph"/>
      </w:pPr>
      <w:r>
        <w:t xml:space="preserve">The stock’s de-rating appears partly connected to concern that blockchain-based ownership and direct voting could disintermediate Broadridge’s proxy and post-trade franchises.</w:t>
      </w:r>
    </w:p>
    <w:p>
      <w:pPr>
        <w:pStyle w:val="BodyText"/>
      </w:pPr>
      <w:r>
        <w:t xml:space="preserve">Management’s counterargument is that tokenization increases complexity and creates demand for Broadridge to connect:</w:t>
      </w:r>
    </w:p>
    <w:p>
      <w:pPr>
        <w:pStyle w:val="Compact"/>
        <w:numPr>
          <w:ilvl w:val="0"/>
          <w:numId w:val="1007"/>
        </w:numPr>
      </w:pPr>
      <w:r>
        <w:t xml:space="preserve">Beneficially owned shares.</w:t>
      </w:r>
    </w:p>
    <w:p>
      <w:pPr>
        <w:pStyle w:val="Compact"/>
        <w:numPr>
          <w:ilvl w:val="0"/>
          <w:numId w:val="1007"/>
        </w:numPr>
      </w:pPr>
      <w:r>
        <w:t xml:space="preserve">Registered shares.</w:t>
      </w:r>
    </w:p>
    <w:p>
      <w:pPr>
        <w:pStyle w:val="Compact"/>
        <w:numPr>
          <w:ilvl w:val="0"/>
          <w:numId w:val="1007"/>
        </w:numPr>
      </w:pPr>
      <w:r>
        <w:t xml:space="preserve">Tokenized shares.</w:t>
      </w:r>
    </w:p>
    <w:p>
      <w:pPr>
        <w:pStyle w:val="Compact"/>
        <w:numPr>
          <w:ilvl w:val="0"/>
          <w:numId w:val="1007"/>
        </w:numPr>
      </w:pPr>
      <w:r>
        <w:t xml:space="preserve">Broker-dealers, issuers and digital-asset platforms.</w:t>
      </w:r>
    </w:p>
    <w:p>
      <w:pPr>
        <w:pStyle w:val="FirstParagraph"/>
      </w:pPr>
      <w:r>
        <w:t xml:space="preserve">Broadridge is already processing more than $350 billion per day on its Distributed Ledger Repo platform, while developing governance and wealth-management capabilities for tokenized assets. Investors should listen for:</w:t>
      </w:r>
    </w:p>
    <w:p>
      <w:pPr>
        <w:pStyle w:val="Compact"/>
        <w:numPr>
          <w:ilvl w:val="0"/>
          <w:numId w:val="1008"/>
        </w:numPr>
      </w:pPr>
      <w:r>
        <w:t xml:space="preserve">Revenue and client growth in Distributed Ledger Repo.</w:t>
      </w:r>
    </w:p>
    <w:p>
      <w:pPr>
        <w:pStyle w:val="Compact"/>
        <w:numPr>
          <w:ilvl w:val="0"/>
          <w:numId w:val="1008"/>
        </w:numPr>
      </w:pPr>
      <w:r>
        <w:t xml:space="preserve">Additional issuer or intermediary partnerships.</w:t>
      </w:r>
    </w:p>
    <w:p>
      <w:pPr>
        <w:pStyle w:val="Compact"/>
        <w:numPr>
          <w:ilvl w:val="0"/>
          <w:numId w:val="1008"/>
        </w:numPr>
      </w:pPr>
      <w:r>
        <w:t xml:space="preserve">Evidence that tokenization is generating contracted revenue rather than only pilot activity.</w:t>
      </w:r>
    </w:p>
    <w:p>
      <w:pPr>
        <w:pStyle w:val="Compact"/>
        <w:numPr>
          <w:ilvl w:val="0"/>
          <w:numId w:val="1008"/>
        </w:numPr>
      </w:pPr>
      <w:r>
        <w:t xml:space="preserve">The cost and timing required to commercialize these products.</w:t>
      </w:r>
    </w:p>
    <w:p>
      <w:pPr>
        <w:pStyle w:val="FirstParagraph"/>
      </w:pPr>
      <w:r>
        <w:t xml:space="preserve">The best outcome is not simply management saying tokenization is an opportunity; it is demonstrating</w:t>
      </w:r>
      <w:r>
        <w:t xml:space="preserve"> </w:t>
      </w:r>
      <w:r>
        <w:rPr>
          <w:b/>
          <w:bCs/>
        </w:rPr>
        <w:t xml:space="preserve">paying clients, onboarding milestones and measurable revenue contribution</w:t>
      </w:r>
      <w:r>
        <w:t xml:space="preserve">.</w:t>
      </w:r>
    </w:p>
    <w:bookmarkEnd w:id="18"/>
    <w:bookmarkStart w:id="20" w:name="X3c890e31001ce1c9657925fb7666a68acfd65d0"/>
    <w:p>
      <w:pPr>
        <w:pStyle w:val="Heading3"/>
      </w:pPr>
      <w:r>
        <w:t xml:space="preserve">5. Margins, AI investment and cash deployment</w:t>
      </w:r>
    </w:p>
    <w:p>
      <w:pPr>
        <w:pStyle w:val="FirstParagraph"/>
      </w:pPr>
      <w:r>
        <w:t xml:space="preserve">Management maintained a fiscal 2026 adjusted operating-margin target of</w:t>
      </w:r>
      <w:r>
        <w:t xml:space="preserve"> </w:t>
      </w:r>
      <w:r>
        <w:rPr>
          <w:b/>
          <w:bCs/>
        </w:rPr>
        <w:t xml:space="preserve">20%–21%</w:t>
      </w:r>
      <w:r>
        <w:t xml:space="preserve">, despite higher investment in AI, tokenization and shareholder engagement. Q3 adjusted margin declined to 21.5% from 22.4%, partly because of distribution revenue and float-income effects. (</w:t>
      </w:r>
      <w:hyperlink r:id="rId13">
        <w:r>
          <w:rPr>
            <w:rStyle w:val="Hyperlink"/>
          </w:rPr>
          <w:t xml:space="preserve">broadridge-ir.com</w:t>
        </w:r>
      </w:hyperlink>
      <w:r>
        <w:t xml:space="preserve">)</w:t>
      </w:r>
    </w:p>
    <w:p>
      <w:pPr>
        <w:pStyle w:val="BodyText"/>
      </w:pPr>
      <w:r>
        <w:t xml:space="preserve">The Q4 margin will be seasonally high, so the more useful questions are:</w:t>
      </w:r>
    </w:p>
    <w:p>
      <w:pPr>
        <w:pStyle w:val="Compact"/>
        <w:numPr>
          <w:ilvl w:val="0"/>
          <w:numId w:val="1009"/>
        </w:numPr>
      </w:pPr>
      <w:r>
        <w:t xml:space="preserve">How much underlying margin expansion is expected in fiscal 2027?</w:t>
      </w:r>
    </w:p>
    <w:p>
      <w:pPr>
        <w:pStyle w:val="Compact"/>
        <w:numPr>
          <w:ilvl w:val="0"/>
          <w:numId w:val="1009"/>
        </w:numPr>
      </w:pPr>
      <w:r>
        <w:t xml:space="preserve">Are AI productivity benefits beginning to offset product investment?</w:t>
      </w:r>
    </w:p>
    <w:p>
      <w:pPr>
        <w:pStyle w:val="Compact"/>
        <w:numPr>
          <w:ilvl w:val="0"/>
          <w:numId w:val="1009"/>
        </w:numPr>
      </w:pPr>
      <w:r>
        <w:t xml:space="preserve">Can BR sustain double-digit EPS growth without materially reducing investment?</w:t>
      </w:r>
    </w:p>
    <w:p>
      <w:pPr>
        <w:pStyle w:val="Compact"/>
        <w:numPr>
          <w:ilvl w:val="0"/>
          <w:numId w:val="1009"/>
        </w:numPr>
      </w:pPr>
      <w:r>
        <w:t xml:space="preserve">How accretive are CQG and the other fiscal 2026 acquisitions?</w:t>
      </w:r>
    </w:p>
    <w:p>
      <w:pPr>
        <w:pStyle w:val="FirstParagraph"/>
      </w:pPr>
      <w:r>
        <w:t xml:space="preserve">Capital allocation should also be supportive. Through Q3, Broadridge generated $591 million of free cash flow, repurchased roughly $353 million of stock and remained below its target leverage range. (</w:t>
      </w:r>
      <w:hyperlink r:id="rId10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Investors should expect commentary on:</w:t>
      </w:r>
    </w:p>
    <w:p>
      <w:pPr>
        <w:pStyle w:val="Compact"/>
        <w:numPr>
          <w:ilvl w:val="0"/>
          <w:numId w:val="1010"/>
        </w:numPr>
      </w:pPr>
      <w:r>
        <w:t xml:space="preserve">Additional repurchases at the lower share price.</w:t>
      </w:r>
    </w:p>
    <w:p>
      <w:pPr>
        <w:pStyle w:val="Compact"/>
        <w:numPr>
          <w:ilvl w:val="0"/>
          <w:numId w:val="1010"/>
        </w:numPr>
      </w:pPr>
      <w:r>
        <w:t xml:space="preserve">Fiscal 2027 free-cash-flow conversion.</w:t>
      </w:r>
    </w:p>
    <w:p>
      <w:pPr>
        <w:pStyle w:val="Compact"/>
        <w:numPr>
          <w:ilvl w:val="0"/>
          <w:numId w:val="1010"/>
        </w:numPr>
      </w:pPr>
      <w:r>
        <w:t xml:space="preserve">Acquisition integration.</w:t>
      </w:r>
    </w:p>
    <w:p>
      <w:pPr>
        <w:pStyle w:val="Compact"/>
        <w:numPr>
          <w:ilvl w:val="0"/>
          <w:numId w:val="1010"/>
        </w:numPr>
      </w:pPr>
      <w:r>
        <w:t xml:space="preserve">The annual dividend increase. Broadridge raised its dividend 11% last year, marking its 19th consecutive annual increase. (</w:t>
      </w:r>
      <w:hyperlink r:id="rId19">
        <w:r>
          <w:rPr>
            <w:rStyle w:val="Hyperlink"/>
          </w:rPr>
          <w:t xml:space="preserve">sec.gov</w:t>
        </w:r>
      </w:hyperlink>
      <w:r>
        <w:t xml:space="preserve">)</w:t>
      </w:r>
    </w:p>
    <w:bookmarkEnd w:id="20"/>
    <w:bookmarkEnd w:id="21"/>
    <w:bookmarkStart w:id="25" w:name="scenario-framework"/>
    <w:p>
      <w:pPr>
        <w:pStyle w:val="Heading2"/>
      </w:pPr>
      <w:r>
        <w:t xml:space="preserve">Scenario framework</w:t>
      </w:r>
    </w:p>
    <w:bookmarkStart w:id="22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1"/>
        </w:numPr>
      </w:pPr>
      <w:r>
        <w:t xml:space="preserve">Adjusted EPS above roughly $3.76.</w:t>
      </w:r>
    </w:p>
    <w:p>
      <w:pPr>
        <w:pStyle w:val="Compact"/>
        <w:numPr>
          <w:ilvl w:val="0"/>
          <w:numId w:val="1011"/>
        </w:numPr>
      </w:pPr>
      <w:r>
        <w:t xml:space="preserve">Recurring revenue at or above the fiscal-year target.</w:t>
      </w:r>
    </w:p>
    <w:p>
      <w:pPr>
        <w:pStyle w:val="Compact"/>
        <w:numPr>
          <w:ilvl w:val="0"/>
          <w:numId w:val="1011"/>
        </w:numPr>
      </w:pPr>
      <w:r>
        <w:t xml:space="preserve">Closed sales near the upper half of</w:t>
      </w:r>
      <w:r>
        <w:t xml:space="preserve"> </w:t>
      </w:r>
      <m:oMath>
        <m:r>
          <m:t>240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290 million.</w:t>
      </w:r>
    </w:p>
    <w:p>
      <w:pPr>
        <w:pStyle w:val="Compact"/>
        <w:numPr>
          <w:ilvl w:val="0"/>
          <w:numId w:val="1011"/>
        </w:numPr>
      </w:pPr>
      <w:r>
        <w:t xml:space="preserve">Fiscal 2027 guidance supports approximately 6%–7% recurring growth and double-digit EPS growth.</w:t>
      </w:r>
    </w:p>
    <w:p>
      <w:pPr>
        <w:pStyle w:val="Compact"/>
        <w:numPr>
          <w:ilvl w:val="0"/>
          <w:numId w:val="1011"/>
        </w:numPr>
      </w:pPr>
      <w:r>
        <w:t xml:space="preserve">Concrete tokenization and AI commercialization milestones.</w:t>
      </w:r>
    </w:p>
    <w:p>
      <w:pPr>
        <w:pStyle w:val="Compact"/>
        <w:numPr>
          <w:ilvl w:val="0"/>
          <w:numId w:val="1011"/>
        </w:numPr>
      </w:pPr>
      <w:r>
        <w:t xml:space="preserve">Continued aggressive repurchases.</w:t>
      </w:r>
    </w:p>
    <w:p>
      <w:pPr>
        <w:pStyle w:val="FirstParagraph"/>
      </w:pPr>
      <w:r>
        <w:t xml:space="preserve">This combination would suggest the stock decline reflects excessive structural pessimism rather than weakening fundamentals.</w:t>
      </w:r>
    </w:p>
    <w:bookmarkEnd w:id="22"/>
    <w:bookmarkStart w:id="23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2"/>
        </w:numPr>
      </w:pPr>
      <w:r>
        <w:t xml:space="preserve">EPS around</w:t>
      </w:r>
      <w:r>
        <w:t xml:space="preserve"> </w:t>
      </w:r>
      <m:oMath>
        <m:r>
          <m:t>3.70</m:t>
        </m:r>
        <m:r>
          <m:rPr>
            <m:sty m:val="p"/>
          </m:rPr>
          <m:t>–</m:t>
        </m:r>
      </m:oMath>
      <w:r>
        <w:t xml:space="preserve">3.76 and revenue near $2.17 billion.</w:t>
      </w:r>
    </w:p>
    <w:p>
      <w:pPr>
        <w:pStyle w:val="Compact"/>
        <w:numPr>
          <w:ilvl w:val="0"/>
          <w:numId w:val="1012"/>
        </w:numPr>
      </w:pPr>
      <w:r>
        <w:t xml:space="preserve">Fiscal 2026 ends within guidance.</w:t>
      </w:r>
    </w:p>
    <w:p>
      <w:pPr>
        <w:pStyle w:val="Compact"/>
        <w:numPr>
          <w:ilvl w:val="0"/>
          <w:numId w:val="1012"/>
        </w:numPr>
      </w:pPr>
      <w:r>
        <w:t xml:space="preserve">Closed sales around the midpoint or lower half of the revised range.</w:t>
      </w:r>
    </w:p>
    <w:p>
      <w:pPr>
        <w:pStyle w:val="Compact"/>
        <w:numPr>
          <w:ilvl w:val="0"/>
          <w:numId w:val="1012"/>
        </w:numPr>
      </w:pPr>
      <w:r>
        <w:t xml:space="preserve">Fiscal 2027 guidance remains within the historical 5%–7% recurring-revenue and 8%–12% EPS framework.</w:t>
      </w:r>
    </w:p>
    <w:p>
      <w:pPr>
        <w:pStyle w:val="FirstParagraph"/>
      </w:pPr>
      <w:r>
        <w:t xml:space="preserve">The stock reaction would likely depend on management’s confidence, sales-pipeline conversion and the quality of the fiscal 2027 earnings bridge.</w:t>
      </w:r>
    </w:p>
    <w:bookmarkEnd w:id="23"/>
    <w:bookmarkStart w:id="24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3"/>
        </w:numPr>
      </w:pPr>
      <w:r>
        <w:t xml:space="preserve">EPS below approximately $3.60.</w:t>
      </w:r>
    </w:p>
    <w:p>
      <w:pPr>
        <w:pStyle w:val="Compact"/>
        <w:numPr>
          <w:ilvl w:val="0"/>
          <w:numId w:val="1013"/>
        </w:numPr>
      </w:pPr>
      <w:r>
        <w:t xml:space="preserve">Closed sales below $240 million for the year.</w:t>
      </w:r>
    </w:p>
    <w:p>
      <w:pPr>
        <w:pStyle w:val="Compact"/>
        <w:numPr>
          <w:ilvl w:val="0"/>
          <w:numId w:val="1013"/>
        </w:numPr>
      </w:pPr>
      <w:r>
        <w:t xml:space="preserve">Recurring growth slows more than expected outside governance.</w:t>
      </w:r>
    </w:p>
    <w:p>
      <w:pPr>
        <w:pStyle w:val="Compact"/>
        <w:numPr>
          <w:ilvl w:val="0"/>
          <w:numId w:val="1013"/>
        </w:numPr>
      </w:pPr>
      <w:r>
        <w:t xml:space="preserve">Fiscal 2027 recurring-revenue guidance falls below the historical range.</w:t>
      </w:r>
    </w:p>
    <w:p>
      <w:pPr>
        <w:pStyle w:val="Compact"/>
        <w:numPr>
          <w:ilvl w:val="0"/>
          <w:numId w:val="1013"/>
        </w:numPr>
      </w:pPr>
      <w:r>
        <w:t xml:space="preserve">Management increases investment without identifying corresponding revenue milestones.</w:t>
      </w:r>
    </w:p>
    <w:p>
      <w:pPr>
        <w:pStyle w:val="Compact"/>
        <w:numPr>
          <w:ilvl w:val="0"/>
          <w:numId w:val="1013"/>
        </w:numPr>
      </w:pPr>
      <w:r>
        <w:t xml:space="preserve">Tokenization commentary remains conceptual rather than commercial.</w:t>
      </w:r>
    </w:p>
    <w:p>
      <w:pPr>
        <w:pStyle w:val="FirstParagraph"/>
      </w:pPr>
      <w:r>
        <w:t xml:space="preserve">That would validate concerns that BR’s growth algorithm is deteriorating despite the lower valuation.</w: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Broadridge enters the report with</w:t>
      </w:r>
      <w:r>
        <w:t xml:space="preserve"> </w:t>
      </w:r>
      <w:r>
        <w:rPr>
          <w:b/>
          <w:bCs/>
        </w:rPr>
        <w:t xml:space="preserve">good fiscal 2026 visibility but damaged investor confidence</w:t>
      </w:r>
      <w:r>
        <w:t xml:space="preserve">. The company is likely to deliver roughly in line with its full-year financial targets; the harder question is whether slower sales are simply a timing issue or an early sign of weaker future organic growth.</w:t>
      </w:r>
    </w:p>
    <w:p>
      <w:pPr>
        <w:pStyle w:val="BodyText"/>
      </w:pPr>
      <w:r>
        <w:t xml:space="preserve">The three numbers to prioritize are: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Fiscal 2027 recurring-revenue guidance.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Fiscal 2026 closed sales and backlog.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Fiscal 2027 adjusted-EPS guidance.</w:t>
      </w:r>
    </w:p>
    <w:p>
      <w:pPr>
        <w:pStyle w:val="FirstParagraph"/>
      </w:pPr>
      <w:r>
        <w:t xml:space="preserve">A headline EPS beat would be helpful, but it will not be sufficient by itself. The stock needs evidence that Broadridge can preserve its recurring-growth model while turning tokenization, AI and digital communications from investment themes into measurable revenue and productivity.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www.broadridge-ir.com/news/news-details/2026/Broadridge-Reports-Third-Quarter-Fiscal-2026-Results/default.aspx" TargetMode="External" /><Relationship Type="http://schemas.openxmlformats.org/officeDocument/2006/relationships/hyperlink" Id="rId9" Target="https://www.broadridge-ir.com/news/news-details/2026/Broadridge-Schedules-Webcast-and-Conference-Call-to-Review-Fourth-Quarter-and-Fiscal-Year-2026-Results-on-August-4-2026/default.aspx?utm_source=openai" TargetMode="External" /><Relationship Type="http://schemas.openxmlformats.org/officeDocument/2006/relationships/hyperlink" Id="rId12" Target="https://www.marketbeat.com/earnings/reports/2026-8-4-broadridge-financial-solutions-inc-stock/?utm_source=openai" TargetMode="External" /><Relationship Type="http://schemas.openxmlformats.org/officeDocument/2006/relationships/hyperlink" Id="rId19" Target="https://www.sec.gov/Archives/edgar/data/1383312/000138331225000024/ex991earningsrelease4q2025.htm" TargetMode="External" /><Relationship Type="http://schemas.openxmlformats.org/officeDocument/2006/relationships/hyperlink" Id="rId10" Target="https://www.sec.gov/Archives/edgar/data/1383312/000138331226000013/ex991earningsrelease3q2026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www.broadridge-ir.com/news/news-details/2026/Broadridge-Reports-Third-Quarter-Fiscal-2026-Results/default.aspx" TargetMode="External" /><Relationship Type="http://schemas.openxmlformats.org/officeDocument/2006/relationships/hyperlink" Id="rId9" Target="https://www.broadridge-ir.com/news/news-details/2026/Broadridge-Schedules-Webcast-and-Conference-Call-to-Review-Fourth-Quarter-and-Fiscal-Year-2026-Results-on-August-4-2026/default.aspx?utm_source=openai" TargetMode="External" /><Relationship Type="http://schemas.openxmlformats.org/officeDocument/2006/relationships/hyperlink" Id="rId12" Target="https://www.marketbeat.com/earnings/reports/2026-8-4-broadridge-financial-solutions-inc-stock/?utm_source=openai" TargetMode="External" /><Relationship Type="http://schemas.openxmlformats.org/officeDocument/2006/relationships/hyperlink" Id="rId19" Target="https://www.sec.gov/Archives/edgar/data/1383312/000138331225000024/ex991earningsrelease4q2025.htm" TargetMode="External" /><Relationship Type="http://schemas.openxmlformats.org/officeDocument/2006/relationships/hyperlink" Id="rId10" Target="https://www.sec.gov/Archives/edgar/data/1383312/000138331226000013/ex991earningsrelease3q2026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2026-08-04T00:53:32Z</dcterms:created>
  <dcterms:modified xsi:type="dcterms:W3CDTF">2026-08-04T00:53:32Z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