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e92343ee089165ca81eac930a41e3b4f5d1be3"/>
    <w:p>
      <w:pPr>
        <w:pStyle w:val="Heading1"/>
      </w:pPr>
      <w:r>
        <w:t xml:space="preserve">Broadridge Financial Solutions (NYSE: BR) — FY2026 Q4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August 4, 2026 is</w:t>
      </w:r>
      <w:r>
        <w:t xml:space="preserve"> </w:t>
      </w:r>
      <w:r>
        <w:rPr>
          <w:b/>
          <w:bCs/>
        </w:rPr>
        <w:t xml:space="preserve">today</w:t>
      </w:r>
      <w:r>
        <w:t xml:space="preserve">, not tomorrow. This preview is for Broadridge’s fiscal 4Q26 / full-year FY26 earnings event dated</w:t>
      </w:r>
      <w:r>
        <w:t xml:space="preserve"> </w:t>
      </w:r>
      <w:r>
        <w:rPr>
          <w:b/>
          <w:bCs/>
        </w:rPr>
        <w:t xml:space="preserve">August 4, 2026</w:t>
      </w:r>
      <w:r>
        <w:t xml:space="preserve">.</w:t>
      </w:r>
    </w:p>
    <w:bookmarkStart w:id="9" w:name="X305ca5fa2dfc5be35dc99acac02522005870236"/>
    <w:p>
      <w:pPr>
        <w:pStyle w:val="Heading2"/>
      </w:pPr>
      <w:r>
        <w:t xml:space="preserve">Investment framing: execution against a raised guide matters more than the headline</w:t>
      </w:r>
    </w:p>
    <w:p>
      <w:pPr>
        <w:pStyle w:val="FirstParagraph"/>
      </w:pPr>
      <w:r>
        <w:t xml:space="preserve">Broadridge enters its fiscal year-end report with its core operating model intact: recurring revenue is supported by investor-position growth, trading activity, a sizable installed base, and recent tuck-in M&amp;A. The key question is less whether BR produces respectable Q4 results and more whether it</w:t>
      </w:r>
      <w:r>
        <w:t xml:space="preserve"> </w:t>
      </w:r>
      <w:r>
        <w:rPr>
          <w:b/>
          <w:bCs/>
        </w:rPr>
        <w:t xml:space="preserve">finishes FY26 at or above its upgraded recurring-revenue outlook while protecting the medium-term earnings algorithm despite elevated investment</w:t>
      </w:r>
      <w:r>
        <w:t xml:space="preserve"> </w:t>
      </w:r>
      <w:r>
        <w:t xml:space="preserve">in AI, tokenization, shareholder engagement, and digital communications.</w:t>
      </w:r>
    </w:p>
    <w:p>
      <w:pPr>
        <w:pStyle w:val="BodyText"/>
      </w:pPr>
      <w:r>
        <w:t xml:space="preserve">The stock has already reset sharply: BR closed at</w:t>
      </w:r>
      <w:r>
        <w:t xml:space="preserve"> </w:t>
      </w:r>
      <w:r>
        <w:rPr>
          <w:b/>
          <w:bCs/>
        </w:rPr>
        <w:t xml:space="preserve">$157.37 on August 3</w:t>
      </w:r>
      <w:r>
        <w:t xml:space="preserve">, down roughly</w:t>
      </w:r>
      <w:r>
        <w:t xml:space="preserve"> </w:t>
      </w:r>
      <w:r>
        <w:rPr>
          <w:b/>
          <w:bCs/>
        </w:rPr>
        <w:t xml:space="preserve">29% from $220.47 on January 2</w:t>
      </w:r>
      <w:r>
        <w:t xml:space="preserve">. That decline appears to reflect investor uncertainty around the impact of AI and tokenization on the company’s market-infrastructure model, alongside concern over slower closed-sales conversion. A clean guide delivery and credible FY27 framework could therefore matter more to the shares than a modest quarterly EPS beat.</w:t>
      </w:r>
    </w:p>
    <w:bookmarkEnd w:id="9"/>
    <w:bookmarkStart w:id="10" w:name="what-management-has-guided-to"/>
    <w:p>
      <w:pPr>
        <w:pStyle w:val="Heading2"/>
      </w:pPr>
      <w:r>
        <w:t xml:space="preserve">What management has guided to</w:t>
      </w:r>
    </w:p>
    <w:p>
      <w:pPr>
        <w:pStyle w:val="FirstParagraph"/>
      </w:pPr>
      <w:r>
        <w:t xml:space="preserve">At fiscal 3Q26, Broadridge raised its FY26 outlook: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FY26 outlook at 3Q26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Prior outlook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Recurring-revenue growth, constant currency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At or above 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Higher end of 5%–7%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operating-income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20%–21%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Unchanged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 growth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10%–12%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9%–12%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Closed sales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240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290M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290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t xml:space="preserve">330M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Free-cash-flow conversion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&gt;100%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Reiterated</w:t>
            </w:r>
          </w:p>
        </w:tc>
      </w:tr>
    </w:tbl>
    <w:p>
      <w:pPr>
        <w:pStyle w:val="BodyText"/>
      </w:pPr>
      <w:r>
        <w:t xml:space="preserve">Management specifically indicated that the implied Q4 adjusted-EPS growth rate would be</w:t>
      </w:r>
      <w:r>
        <w:t xml:space="preserve"> </w:t>
      </w:r>
      <w:r>
        <w:rPr>
          <w:b/>
          <w:bCs/>
        </w:rPr>
        <w:t xml:space="preserve">low-to-mid single digits</w:t>
      </w:r>
      <w:r>
        <w:t xml:space="preserve">, as it chose to reinvest part of strong operating performance into longer-term initiatives. Therefore, a lower Q4 growth rate should not alone be viewed as a miss if it reflects the planned investment cadence and the company delivers its full-year targets.</w:t>
      </w:r>
    </w:p>
    <w:bookmarkEnd w:id="10"/>
    <w:bookmarkStart w:id="11" w:name="Xaf0328fdd30f83c7f5cc9c6cdc32cfb70a77fe2"/>
    <w:p>
      <w:pPr>
        <w:pStyle w:val="Heading2"/>
      </w:pPr>
      <w:r>
        <w:t xml:space="preserve">The setup from Q3: healthy fundamentals, but sales conversion is the watch item</w:t>
      </w:r>
    </w:p>
    <w:p>
      <w:pPr>
        <w:pStyle w:val="FirstParagraph"/>
      </w:pPr>
      <w:r>
        <w:t xml:space="preserve">Broadridge’s fiscal 3Q26 result was strong operationally: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Recurring revenue:</w:t>
      </w:r>
      <w:r>
        <w:t xml:space="preserve"> </w:t>
      </w:r>
      <w:r>
        <w:t xml:space="preserve">+6% constant currency, including approximately</w:t>
      </w:r>
      <w:r>
        <w:t xml:space="preserve"> </w:t>
      </w:r>
      <w:r>
        <w:rPr>
          <w:b/>
          <w:bCs/>
        </w:rPr>
        <w:t xml:space="preserve">5% organic growth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EPS:</w:t>
      </w:r>
      <w:r>
        <w:t xml:space="preserve"> </w:t>
      </w:r>
      <w:r>
        <w:t xml:space="preserve">+11% year over year to</w:t>
      </w:r>
      <w:r>
        <w:t xml:space="preserve"> </w:t>
      </w:r>
      <w:r>
        <w:rPr>
          <w:b/>
          <w:bCs/>
        </w:rPr>
        <w:t xml:space="preserve">$2.72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ICS recurring revenue:</w:t>
      </w:r>
      <w:r>
        <w:t xml:space="preserve"> </w:t>
      </w:r>
      <w:r>
        <w:t xml:space="preserve">+8% reported / +8% constant currency.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GTO recurring revenue:</w:t>
      </w:r>
      <w:r>
        <w:t xml:space="preserve"> </w:t>
      </w:r>
      <w:r>
        <w:t xml:space="preserve">+5% reported / +3% constant currency.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Free cash flow:</w:t>
      </w:r>
      <w:r>
        <w:t xml:space="preserve"> </w:t>
      </w:r>
      <w:r>
        <w:t xml:space="preserve">$591M through nine months, versus $393M in the comparable prior-year period.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Equity revenue-position growth:</w:t>
      </w:r>
      <w:r>
        <w:t xml:space="preserve"> </w:t>
      </w:r>
      <w:r>
        <w:t xml:space="preserve">+11%; mutual-fund/ETF position growth: +6%.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Internal trade growth:</w:t>
      </w:r>
      <w:r>
        <w:t xml:space="preserve"> </w:t>
      </w:r>
      <w:r>
        <w:t xml:space="preserve">+16%.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 retention:</w:t>
      </w:r>
      <w:r>
        <w:t xml:space="preserve"> </w:t>
      </w:r>
      <w:r>
        <w:t xml:space="preserve">98%.</w:t>
      </w:r>
    </w:p>
    <w:p>
      <w:pPr>
        <w:pStyle w:val="FirstParagraph"/>
      </w:pPr>
      <w:r>
        <w:t xml:space="preserve">The exception was closed sales. Year-to-date closed sales were</w:t>
      </w:r>
      <w:r>
        <w:t xml:space="preserve"> </w:t>
      </w:r>
      <m:oMath>
        <m:r>
          <m:t>146.8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t>Q</m:t>
        </m:r>
        <m:r>
          <m:t>3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16</m:t>
        </m:r>
      </m:oMath>
      <w:r>
        <w:rPr>
          <w:b/>
          <w:bCs/>
        </w:rPr>
        <w:t xml:space="preserve">240M–</w:t>
      </w:r>
      <m:oMath>
        <m:r>
          <m:t>290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n</m:t>
        </m:r>
        <m:r>
          <m:t>u</m:t>
        </m:r>
        <m:r>
          <m:t>a</m:t>
        </m:r>
        <m:r>
          <m:t>l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rPr>
            <m:sty m:val="p"/>
          </m:rPr>
          <m:t>,</m:t>
        </m:r>
        <m:r>
          <m:t>B</m:t>
        </m:r>
        <m:r>
          <m:t>r</m:t>
        </m:r>
        <m:r>
          <m:t>o</m:t>
        </m:r>
        <m:r>
          <m:t>a</m:t>
        </m:r>
        <m:r>
          <m:t>d</m:t>
        </m:r>
        <m:r>
          <m:t>r</m:t>
        </m:r>
        <m:r>
          <m:t>i</m:t>
        </m:r>
        <m:r>
          <m:t>d</m:t>
        </m:r>
        <m:r>
          <m:t>g</m:t>
        </m:r>
        <m:r>
          <m:t>e</m:t>
        </m:r>
        <m:r>
          <m:t>n</m:t>
        </m:r>
        <m:r>
          <m:t>e</m:t>
        </m:r>
        <m:r>
          <m:t>e</m:t>
        </m:r>
        <m:r>
          <m:t>d</m:t>
        </m:r>
        <m:r>
          <m:t>s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93M–</w:t>
      </w:r>
      <m:oMath>
        <m:r>
          <m:t>143</m:t>
        </m:r>
        <m:r>
          <m:t>M</m:t>
        </m:r>
        <m:r>
          <m:t>o</m:t>
        </m:r>
        <m:r>
          <m:t>f</m:t>
        </m:r>
        <m:r>
          <m:t>Q</m:t>
        </m:r>
        <m:r>
          <m:t>4</m:t>
        </m:r>
        <m:r>
          <m:t>c</m:t>
        </m:r>
        <m:r>
          <m:t>l</m:t>
        </m:r>
        <m:r>
          <m:t>o</m:t>
        </m:r>
        <m:r>
          <m:t>s</m:t>
        </m:r>
        <m:r>
          <m:t>e</m:t>
        </m:r>
        <m:r>
          <m:t>d</m:t>
        </m:r>
        <m:r>
          <m:t>s</m:t>
        </m:r>
        <m:r>
          <m:t>a</m:t>
        </m:r>
        <m:r>
          <m:t>l</m:t>
        </m:r>
        <m:r>
          <m:t>e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’</m:t>
        </m:r>
        <m:r>
          <m:t>s</m:t>
        </m:r>
        <m:r>
          <m:t>e</m:t>
        </m:r>
        <m:r>
          <m:t>x</m:t>
        </m:r>
        <m:r>
          <m:t>p</m:t>
        </m:r>
        <m:r>
          <m:t>l</m:t>
        </m:r>
        <m:r>
          <m:t>a</m:t>
        </m:r>
        <m:r>
          <m:t>n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i</m:t>
        </m:r>
        <m:r>
          <m:t>s</m:t>
        </m:r>
        <m:r>
          <m:t>n</m:t>
        </m:r>
        <m:r>
          <m:t>o</m:t>
        </m:r>
        <m:r>
          <m:t>t</m:t>
        </m:r>
        <m:r>
          <m:t>d</m:t>
        </m:r>
        <m:r>
          <m:t>e</m:t>
        </m:r>
        <m:r>
          <m:t>t</m:t>
        </m:r>
        <m:r>
          <m:t>e</m:t>
        </m:r>
        <m:r>
          <m:t>r</m:t>
        </m:r>
        <m:r>
          <m:t>i</m:t>
        </m:r>
        <m:r>
          <m:t>o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d</m:t>
        </m:r>
        <m:r>
          <m:t>e</m:t>
        </m:r>
        <m:r>
          <m:t>m</m:t>
        </m:r>
        <m:r>
          <m:t>a</m:t>
        </m:r>
        <m:r>
          <m:t>n</m:t>
        </m:r>
        <m:r>
          <m:t>d</m:t>
        </m:r>
        <m:r>
          <m:rPr>
            <m:sty m:val="p"/>
          </m:rPr>
          <m:t>,</m:t>
        </m:r>
        <m:r>
          <m:t>b</m:t>
        </m:r>
        <m:r>
          <m:t>u</m:t>
        </m:r>
        <m:r>
          <m:t>t</m:t>
        </m:r>
        <m:r>
          <m:t>l</m:t>
        </m:r>
        <m:r>
          <m:t>e</m:t>
        </m:r>
        <m:r>
          <m:t>n</m:t>
        </m:r>
        <m:r>
          <m:t>g</m:t>
        </m:r>
        <m:r>
          <m:t>t</m:t>
        </m:r>
        <m:r>
          <m:t>h</m:t>
        </m:r>
        <m:r>
          <m:t>i</m:t>
        </m:r>
        <m:r>
          <m:t>e</m:t>
        </m:r>
        <m:r>
          <m:t>r</m:t>
        </m:r>
        <m:r>
          <m:t>c</m:t>
        </m:r>
        <m:r>
          <m:t>o</m:t>
        </m:r>
        <m:r>
          <m:t>n</m:t>
        </m:r>
        <m:r>
          <m:t>v</m:t>
        </m:r>
        <m:r>
          <m:t>e</m:t>
        </m:r>
        <m:r>
          <m:t>r</m:t>
        </m:r>
        <m:r>
          <m:t>s</m:t>
        </m:r>
        <m:r>
          <m:t>i</m:t>
        </m:r>
        <m:r>
          <m:t>o</m:t>
        </m:r>
        <m:r>
          <m:t>n</m:t>
        </m:r>
        <m:r>
          <m:t>c</m:t>
        </m:r>
        <m:r>
          <m:t>y</m:t>
        </m:r>
        <m:r>
          <m:t>c</m:t>
        </m:r>
        <m:r>
          <m:t>l</m:t>
        </m:r>
        <m:r>
          <m:t>e</m:t>
        </m:r>
        <m:r>
          <m:t>s</m:t>
        </m:r>
        <m:r>
          <m:t>f</m:t>
        </m:r>
        <m:r>
          <m:t>o</m:t>
        </m:r>
        <m:r>
          <m:t>r</m:t>
        </m:r>
        <m:r>
          <m:t>l</m:t>
        </m:r>
        <m:r>
          <m:t>a</m:t>
        </m:r>
        <m:r>
          <m:t>r</m:t>
        </m:r>
        <m:r>
          <m:t>g</m:t>
        </m:r>
        <m:r>
          <m:t>e</m:t>
        </m:r>
        <m:r>
          <m:t>r</m:t>
        </m:r>
        <m:r>
          <m:t>a</m:t>
        </m:r>
        <m:r>
          <m:t>n</m:t>
        </m:r>
        <m:r>
          <m:t>d</m:t>
        </m:r>
        <m:r>
          <m:t>m</m:t>
        </m:r>
        <m:r>
          <m:t>o</m:t>
        </m:r>
        <m:r>
          <m:t>r</m:t>
        </m:r>
        <m:r>
          <m:t>e</m:t>
        </m:r>
        <m:r>
          <m:t>c</m:t>
        </m:r>
        <m:r>
          <m:t>o</m:t>
        </m:r>
        <m:r>
          <m:t>m</m:t>
        </m:r>
        <m:r>
          <m:t>p</m:t>
        </m:r>
        <m:r>
          <m:t>l</m:t>
        </m:r>
        <m:r>
          <m:t>e</m:t>
        </m:r>
        <m:r>
          <m:t>x</m:t>
        </m:r>
        <m:r>
          <m:t>p</m:t>
        </m:r>
        <m:r>
          <m:t>l</m:t>
        </m:r>
        <m:r>
          <m:t>a</m:t>
        </m:r>
        <m:r>
          <m:t>t</m:t>
        </m:r>
        <m:r>
          <m:t>f</m:t>
        </m:r>
        <m:r>
          <m:t>o</m:t>
        </m:r>
        <m:r>
          <m:t>r</m:t>
        </m:r>
        <m:r>
          <m:t>m</m:t>
        </m:r>
        <m:r>
          <m:rPr>
            <m:sty m:val="p"/>
          </m:rPr>
          <m:t>,</m:t>
        </m:r>
        <m:r>
          <m:t>w</m:t>
        </m:r>
        <m:r>
          <m:t>e</m:t>
        </m:r>
        <m:r>
          <m:t>a</m:t>
        </m:r>
        <m:r>
          <m:t>l</m:t>
        </m:r>
        <m:r>
          <m:t>t</m:t>
        </m:r>
        <m:r>
          <m:t>h</m:t>
        </m:r>
        <m:r>
          <m:rPr>
            <m:sty m:val="p"/>
          </m:rPr>
          <m:t>,</m:t>
        </m:r>
        <m:r>
          <m:t>d</m:t>
        </m:r>
        <m:r>
          <m:t>i</m:t>
        </m:r>
        <m:r>
          <m:t>g</m:t>
        </m:r>
        <m:r>
          <m:t>i</m:t>
        </m:r>
        <m:r>
          <m:t>t</m:t>
        </m:r>
        <m:r>
          <m:t>a</m:t>
        </m:r>
        <m:r>
          <m:t>l</m:t>
        </m:r>
        <m:r>
          <m:rPr>
            <m:sty m:val="p"/>
          </m:rPr>
          <m:t>−</m:t>
        </m:r>
        <m:r>
          <m:t>t</m:t>
        </m:r>
        <m:r>
          <m:t>r</m:t>
        </m:r>
        <m:r>
          <m:t>a</m:t>
        </m:r>
        <m:r>
          <m:t>n</m:t>
        </m:r>
        <m:r>
          <m:t>s</m:t>
        </m:r>
        <m:r>
          <m:t>f</m:t>
        </m:r>
        <m:r>
          <m:t>o</m:t>
        </m:r>
        <m:r>
          <m:t>r</m:t>
        </m:r>
        <m:r>
          <m:t>m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c</m:t>
        </m:r>
        <m:r>
          <m:t>u</m:t>
        </m:r>
        <m:r>
          <m:t>s</m:t>
        </m:r>
        <m:r>
          <m:t>t</m:t>
        </m:r>
        <m:r>
          <m:t>o</m:t>
        </m:r>
        <m:r>
          <m:t>m</m:t>
        </m:r>
        <m:r>
          <m:t>e</m:t>
        </m:r>
        <m:r>
          <m:t>r</m:t>
        </m:r>
        <m:r>
          <m:rPr>
            <m:sty m:val="p"/>
          </m:rPr>
          <m:t>−</m:t>
        </m:r>
        <m:r>
          <m:t>c</m:t>
        </m:r>
        <m:r>
          <m:t>o</m:t>
        </m:r>
        <m:r>
          <m:t>m</m:t>
        </m:r>
        <m:r>
          <m:t>m</m:t>
        </m:r>
        <m:r>
          <m:t>u</m:t>
        </m:r>
        <m:r>
          <m:t>n</m:t>
        </m:r>
        <m:r>
          <m:t>i</m:t>
        </m:r>
        <m:r>
          <m:t>c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t>d</m:t>
        </m:r>
        <m:r>
          <m:t>e</m:t>
        </m:r>
        <m:r>
          <m:t>a</m:t>
        </m:r>
        <m:r>
          <m:t>l</m:t>
        </m:r>
        <m:r>
          <m:t>s</m:t>
        </m:r>
        <m:r>
          <m:rPr>
            <m:sty m:val="p"/>
          </m:rPr>
          <m:t>.</m:t>
        </m:r>
        <m:r>
          <m:t>I</m:t>
        </m:r>
        <m:r>
          <m:t>t</m:t>
        </m:r>
        <m:r>
          <m:t>c</m:t>
        </m:r>
        <m:r>
          <m:t>i</m:t>
        </m:r>
        <m:r>
          <m:t>t</m:t>
        </m:r>
        <m:r>
          <m:t>e</m:t>
        </m:r>
        <m:r>
          <m:t>d</m:t>
        </m:r>
        <m:r>
          <m:t>a</m:t>
        </m:r>
        <m:r>
          <m:t>p</m:t>
        </m:r>
        <m:r>
          <m:t>i</m:t>
        </m:r>
        <m:r>
          <m:t>p</m:t>
        </m:r>
        <m:r>
          <m:t>e</m:t>
        </m:r>
        <m:r>
          <m:t>l</m:t>
        </m:r>
        <m:r>
          <m:t>i</m:t>
        </m:r>
        <m:r>
          <m:t>n</m:t>
        </m:r>
        <m:r>
          <m:t>e</m:t>
        </m:r>
        <m:r>
          <m:t>a</m:t>
        </m:r>
        <m:r>
          <m:t>b</m:t>
        </m:r>
        <m:r>
          <m:t>o</m:t>
        </m:r>
        <m:r>
          <m:t>v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 billion</w:t>
      </w:r>
      <w:r>
        <w:t xml:space="preserve">, up over 20% year over year, and dollar deal origination up 25%.</w:t>
      </w:r>
    </w:p>
    <w:p>
      <w:pPr>
        <w:pStyle w:val="BodyText"/>
      </w:pPr>
      <w:r>
        <w:t xml:space="preserve">That distinction is crucial: a weak Q4 closed-sales outcome would not necessarily impair FY26 financial guidance, but it could challenge confidence in the speed and visibility of FY27–FY28 recurring-revenue growth.</w:t>
      </w:r>
    </w:p>
    <w:bookmarkEnd w:id="11"/>
    <w:bookmarkStart w:id="17" w:name="what-investors-should-watch"/>
    <w:p>
      <w:pPr>
        <w:pStyle w:val="Heading2"/>
      </w:pPr>
      <w:r>
        <w:t xml:space="preserve">What investors should watch</w:t>
      </w:r>
    </w:p>
    <w:bookmarkStart w:id="12" w:name="Xff55d148f54b90b60826cd2fe1f8d1d40fa8d0e"/>
    <w:p>
      <w:pPr>
        <w:pStyle w:val="Heading3"/>
      </w:pPr>
      <w:r>
        <w:t xml:space="preserve">1. Delivery against the recurring-revenue guide</w:t>
      </w:r>
    </w:p>
    <w:p>
      <w:pPr>
        <w:pStyle w:val="FirstParagraph"/>
      </w:pPr>
      <w:r>
        <w:t xml:space="preserve">The most important KPI is confirmation of</w:t>
      </w:r>
      <w:r>
        <w:t xml:space="preserve"> </w:t>
      </w:r>
      <w:r>
        <w:rPr>
          <w:b/>
          <w:bCs/>
        </w:rPr>
        <w:t xml:space="preserve">at least 7% constant-currency recurring-revenue growth</w:t>
      </w:r>
      <w:r>
        <w:t xml:space="preserve"> </w:t>
      </w:r>
      <w:r>
        <w:t xml:space="preserve">for FY26.</w:t>
      </w:r>
    </w:p>
    <w:p>
      <w:pPr>
        <w:pStyle w:val="BodyText"/>
      </w:pPr>
      <w:r>
        <w:t xml:space="preserve">The Q4 setup is underpinned by several favorable drivers:</w:t>
      </w:r>
    </w:p>
    <w:p>
      <w:pPr>
        <w:pStyle w:val="Compact"/>
        <w:numPr>
          <w:ilvl w:val="0"/>
          <w:numId w:val="1002"/>
        </w:numPr>
      </w:pPr>
      <w:r>
        <w:t xml:space="preserve">Management had already received records for</w:t>
      </w:r>
      <w:r>
        <w:t xml:space="preserve"> </w:t>
      </w:r>
      <w:r>
        <w:rPr>
          <w:b/>
          <w:bCs/>
        </w:rPr>
        <w:t xml:space="preserve">93% of expected full-year proxy positions</w:t>
      </w:r>
      <w:r>
        <w:t xml:space="preserve"> </w:t>
      </w:r>
      <w:r>
        <w:t xml:space="preserve">by the Q3 call, providing unusually high visibility into the core governance business.</w:t>
      </w:r>
    </w:p>
    <w:p>
      <w:pPr>
        <w:pStyle w:val="Compact"/>
        <w:numPr>
          <w:ilvl w:val="0"/>
          <w:numId w:val="1002"/>
        </w:numPr>
      </w:pPr>
      <w:r>
        <w:t xml:space="preserve">It expected</w:t>
      </w:r>
      <w:r>
        <w:t xml:space="preserve"> </w:t>
      </w:r>
      <w:r>
        <w:rPr>
          <w:b/>
          <w:bCs/>
        </w:rPr>
        <w:t xml:space="preserve">low-double-digit equity revenue-position growth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mid-to-high-single-digit fund-position growth</w:t>
      </w:r>
      <w:r>
        <w:t xml:space="preserve"> </w:t>
      </w:r>
      <w:r>
        <w:t xml:space="preserve">in Q4.</w:t>
      </w:r>
    </w:p>
    <w:p>
      <w:pPr>
        <w:pStyle w:val="Compact"/>
        <w:numPr>
          <w:ilvl w:val="0"/>
          <w:numId w:val="1002"/>
        </w:numPr>
      </w:pPr>
      <w:r>
        <w:t xml:space="preserve">Strong trading activity has supported GTO, especially wealth and investment management.</w:t>
      </w:r>
    </w:p>
    <w:p>
      <w:pPr>
        <w:pStyle w:val="Compact"/>
        <w:numPr>
          <w:ilvl w:val="0"/>
          <w:numId w:val="1002"/>
        </w:numPr>
      </w:pPr>
      <w:r>
        <w:t xml:space="preserve">CQG, acquired April 30 for approximately</w:t>
      </w:r>
      <w:r>
        <w:t xml:space="preserve"> </w:t>
      </w:r>
      <w:r>
        <w:rPr>
          <w:b/>
          <w:bCs/>
        </w:rPr>
        <w:t xml:space="preserve">$173M plus contingent consideration</w:t>
      </w:r>
      <w:r>
        <w:t xml:space="preserve">, should contribute to GTO in Q4.</w:t>
      </w:r>
    </w:p>
    <w:p>
      <w:pPr>
        <w:pStyle w:val="FirstParagraph"/>
      </w:pPr>
      <w:r>
        <w:t xml:space="preserve">A finish at only the 7% threshold could be adequate, but an outcome materially above it would reinforce the argument that Broadridge’s underlying activity-driven growth remains durable.</w:t>
      </w:r>
    </w:p>
    <w:bookmarkEnd w:id="12"/>
    <w:bookmarkStart w:id="13" w:name="X75afa18c12c0882c517caafd56ac91721cf45e8"/>
    <w:p>
      <w:pPr>
        <w:pStyle w:val="Heading3"/>
      </w:pPr>
      <w:r>
        <w:t xml:space="preserve">2. ICS strength and the quality of position growth</w:t>
      </w:r>
    </w:p>
    <w:p>
      <w:pPr>
        <w:pStyle w:val="FirstParagraph"/>
      </w:pPr>
      <w:r>
        <w:t xml:space="preserve">ICS is the largest earnings engine and deserves the most attention. In Q3, regulatory recurring revenue grew 9%, led by 11% equity revenue-position growth. The distinction between</w:t>
      </w:r>
      <w:r>
        <w:t xml:space="preserve"> </w:t>
      </w:r>
      <w:r>
        <w:rPr>
          <w:b/>
          <w:bCs/>
        </w:rPr>
        <w:t xml:space="preserve">total equity positions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revenue positions</w:t>
      </w:r>
      <w:r>
        <w:t xml:space="preserve"> </w:t>
      </w:r>
      <w:r>
        <w:t xml:space="preserve">matters: total positions grew 15%, but revenue positions—excluding small or fractional non-revenue accounts—grew 11%.</w:t>
      </w:r>
    </w:p>
    <w:p>
      <w:pPr>
        <w:pStyle w:val="BodyText"/>
      </w:pPr>
      <w:r>
        <w:t xml:space="preserve">Investors should look for evidence that:</w:t>
      </w:r>
    </w:p>
    <w:p>
      <w:pPr>
        <w:pStyle w:val="Compact"/>
        <w:numPr>
          <w:ilvl w:val="0"/>
          <w:numId w:val="1003"/>
        </w:numPr>
      </w:pPr>
      <w:r>
        <w:t xml:space="preserve">Position growth remains broad-based rather than concentrated in low-value accounts;</w:t>
      </w:r>
    </w:p>
    <w:p>
      <w:pPr>
        <w:pStyle w:val="Compact"/>
        <w:numPr>
          <w:ilvl w:val="0"/>
          <w:numId w:val="1003"/>
        </w:numPr>
      </w:pPr>
      <w:r>
        <w:t xml:space="preserve">Mutual-fund/ETF positions remain in the mid/high-single-digit range;</w:t>
      </w:r>
    </w:p>
    <w:p>
      <w:pPr>
        <w:pStyle w:val="Compact"/>
        <w:numPr>
          <w:ilvl w:val="0"/>
          <w:numId w:val="1003"/>
        </w:numPr>
      </w:pPr>
      <w:r>
        <w:t xml:space="preserve">Digital customer-communications growth continues to offset potential pressure in print-related activities;</w:t>
      </w:r>
    </w:p>
    <w:p>
      <w:pPr>
        <w:pStyle w:val="Compact"/>
        <w:numPr>
          <w:ilvl w:val="0"/>
          <w:numId w:val="1003"/>
        </w:numPr>
      </w:pPr>
      <w:r>
        <w:t xml:space="preserve">Event-driven activity remains supportive, while recognizing it is inherently less predictable.</w:t>
      </w:r>
    </w:p>
    <w:bookmarkEnd w:id="13"/>
    <w:bookmarkStart w:id="14" w:name="X9f4a7f9c6539f0d2d39cb7421f830aed8d7a7b5"/>
    <w:p>
      <w:pPr>
        <w:pStyle w:val="Heading3"/>
      </w:pPr>
      <w:r>
        <w:t xml:space="preserve">3. GTO growth, CQG contribution, and license-revenue noise</w:t>
      </w:r>
    </w:p>
    <w:p>
      <w:pPr>
        <w:pStyle w:val="FirstParagraph"/>
      </w:pPr>
      <w:r>
        <w:t xml:space="preserve">GTO’s Q3 growth was less visually impressive than ICS because of software-term-license comparisons. Capital Markets recurring revenue rose 2% reported but was flat in constant currency; excluding a license-revenue headwind, management characterized underlying growth as 6%.</w:t>
      </w:r>
    </w:p>
    <w:p>
      <w:pPr>
        <w:pStyle w:val="BodyText"/>
      </w:pPr>
      <w:r>
        <w:t xml:space="preserve">For Q4, management had flagged:</w:t>
      </w:r>
    </w:p>
    <w:p>
      <w:pPr>
        <w:pStyle w:val="Compact"/>
        <w:numPr>
          <w:ilvl w:val="0"/>
          <w:numId w:val="1004"/>
        </w:numPr>
      </w:pPr>
      <w:r>
        <w:t xml:space="preserve">A roughly</w:t>
      </w:r>
      <w:r>
        <w:t xml:space="preserve"> </w:t>
      </w:r>
      <w:r>
        <w:rPr>
          <w:b/>
          <w:bCs/>
        </w:rPr>
        <w:t xml:space="preserve">3-point contribution</w:t>
      </w:r>
      <w:r>
        <w:t xml:space="preserve"> </w:t>
      </w:r>
      <w:r>
        <w:t xml:space="preserve">to capital-markets growth from CQG;</w:t>
      </w:r>
    </w:p>
    <w:p>
      <w:pPr>
        <w:pStyle w:val="Compact"/>
        <w:numPr>
          <w:ilvl w:val="0"/>
          <w:numId w:val="1004"/>
        </w:numPr>
      </w:pPr>
      <w:r>
        <w:t xml:space="preserve">A roughly</w:t>
      </w:r>
      <w:r>
        <w:t xml:space="preserve"> </w:t>
      </w:r>
      <w:r>
        <w:rPr>
          <w:b/>
          <w:bCs/>
        </w:rPr>
        <w:t xml:space="preserve">5-point license-revenue headwind</w:t>
      </w:r>
      <w:r>
        <w:t xml:space="preserve"> </w:t>
      </w:r>
      <w:r>
        <w:t xml:space="preserve">in wealth and investment management.</w:t>
      </w:r>
    </w:p>
    <w:p>
      <w:pPr>
        <w:pStyle w:val="FirstParagraph"/>
      </w:pPr>
      <w:r>
        <w:t xml:space="preserve">Investors should therefore focus on underlying recurring-revenue growth and segment profitability rather than overreact to reported growth affected by lumpy license timing. CQG is strategically relevant: it expands Broadridge’s futures and options execution-management capabilities and complements its order-management franchise.</w:t>
      </w:r>
    </w:p>
    <w:bookmarkEnd w:id="14"/>
    <w:bookmarkStart w:id="15" w:name="Xdee36f7247cb214888237b61766c8dbb500d8b2"/>
    <w:p>
      <w:pPr>
        <w:pStyle w:val="Heading3"/>
      </w:pPr>
      <w:r>
        <w:t xml:space="preserve">4. Margins: planned investment versus structural pressure</w:t>
      </w:r>
    </w:p>
    <w:p>
      <w:pPr>
        <w:pStyle w:val="FirstParagraph"/>
      </w:pPr>
      <w:r>
        <w:t xml:space="preserve">Adjusted operating margin was 21.5% in Q3, down 90 basis points year over year. About 80 bps of pressure came from the mix effect of higher low-/no-margin distribution revenue and lower interest income.</w:t>
      </w:r>
    </w:p>
    <w:p>
      <w:pPr>
        <w:pStyle w:val="BodyText"/>
      </w:pPr>
      <w:r>
        <w:t xml:space="preserve">For Q4, management forecast a similar dynamic and explicitly said it would continue stepping up investments in:</w:t>
      </w:r>
    </w:p>
    <w:p>
      <w:pPr>
        <w:pStyle w:val="Compact"/>
        <w:numPr>
          <w:ilvl w:val="0"/>
          <w:numId w:val="1005"/>
        </w:numPr>
      </w:pPr>
      <w:r>
        <w:t xml:space="preserve">AI-enabled products and productivity tools;</w:t>
      </w:r>
    </w:p>
    <w:p>
      <w:pPr>
        <w:pStyle w:val="Compact"/>
        <w:numPr>
          <w:ilvl w:val="0"/>
          <w:numId w:val="1005"/>
        </w:numPr>
      </w:pPr>
      <w:r>
        <w:t xml:space="preserve">Tokenization and digital-asset infrastructure;</w:t>
      </w:r>
    </w:p>
    <w:p>
      <w:pPr>
        <w:pStyle w:val="Compact"/>
        <w:numPr>
          <w:ilvl w:val="0"/>
          <w:numId w:val="1005"/>
        </w:numPr>
      </w:pPr>
      <w:r>
        <w:t xml:space="preserve">Shareholder-engagement offerings;</w:t>
      </w:r>
    </w:p>
    <w:p>
      <w:pPr>
        <w:pStyle w:val="Compact"/>
        <w:numPr>
          <w:ilvl w:val="0"/>
          <w:numId w:val="1005"/>
        </w:numPr>
      </w:pPr>
      <w:r>
        <w:t xml:space="preserve">Digital communications.</w:t>
      </w:r>
    </w:p>
    <w:p>
      <w:pPr>
        <w:pStyle w:val="FirstParagraph"/>
      </w:pPr>
      <w:r>
        <w:t xml:space="preserve">The positive interpretation is that BR is using an unusually favorable activity environment to fund growth investments while still delivering 10%–12% adjusted EPS growth for the year. The negative interpretation is that margin expansion may be delayed if those investments persist without near-term monetization. Commentary on the</w:t>
      </w:r>
      <w:r>
        <w:t xml:space="preserve"> </w:t>
      </w:r>
      <w:r>
        <w:rPr>
          <w:b/>
          <w:bCs/>
        </w:rPr>
        <w:t xml:space="preserve">FY27 margin framework</w:t>
      </w:r>
      <w:r>
        <w:t xml:space="preserve"> </w:t>
      </w:r>
      <w:r>
        <w:t xml:space="preserve">will thus be central.</w:t>
      </w:r>
    </w:p>
    <w:bookmarkEnd w:id="15"/>
    <w:bookmarkStart w:id="16" w:name="X2876ae4356ee7a14bbca7a2c9f20946b8d6bdc3"/>
    <w:p>
      <w:pPr>
        <w:pStyle w:val="Heading3"/>
      </w:pPr>
      <w:r>
        <w:t xml:space="preserve">5. Closed sales and FY27 recurring-revenue implications</w:t>
      </w:r>
    </w:p>
    <w:p>
      <w:pPr>
        <w:pStyle w:val="FirstParagraph"/>
      </w:pPr>
      <w:r>
        <w:t xml:space="preserve">This is likely the report’s most debated issue.</w:t>
      </w:r>
    </w:p>
    <w:p>
      <w:pPr>
        <w:pStyle w:val="BodyText"/>
      </w:pPr>
      <w:r>
        <w:t xml:space="preserve">Management has argued the FY26 sales-guide reduction should have only a</w:t>
      </w:r>
      <w:r>
        <w:t xml:space="preserve"> </w:t>
      </w:r>
      <w:r>
        <w:rPr>
          <w:b/>
          <w:bCs/>
        </w:rPr>
        <w:t xml:space="preserve">10–30 bp</w:t>
      </w:r>
      <w:r>
        <w:t xml:space="preserve"> </w:t>
      </w:r>
      <w:r>
        <w:t xml:space="preserve">impact on next-year recurring-revenue growth because of long conversion cycles and the modest absolute gap between the old and new sales outlook. It also points to a $430M opening recurring-revenue backlog, strong position/trading trends, and M&amp;A contributions.</w:t>
      </w:r>
    </w:p>
    <w:p>
      <w:pPr>
        <w:pStyle w:val="BodyText"/>
      </w:pPr>
      <w:r>
        <w:t xml:space="preserve">A constructive earnings call would include:</w:t>
      </w:r>
    </w:p>
    <w:p>
      <w:pPr>
        <w:pStyle w:val="Compact"/>
        <w:numPr>
          <w:ilvl w:val="0"/>
          <w:numId w:val="1006"/>
        </w:numPr>
      </w:pPr>
      <w:r>
        <w:t xml:space="preserve">Q4 closed sales near or above the top half of the</w:t>
      </w:r>
      <w:r>
        <w:t xml:space="preserve"> </w:t>
      </w:r>
      <m:oMath>
        <m:r>
          <m:t>240</m:t>
        </m:r>
        <m:r>
          <m:t>M</m:t>
        </m:r>
        <m:r>
          <m:rPr>
            <m:sty m:val="p"/>
          </m:rPr>
          <m:t>–</m:t>
        </m:r>
      </m:oMath>
      <w:r>
        <w:t xml:space="preserve">290M annual range;</w:t>
      </w:r>
    </w:p>
    <w:p>
      <w:pPr>
        <w:pStyle w:val="Compact"/>
        <w:numPr>
          <w:ilvl w:val="0"/>
          <w:numId w:val="1006"/>
        </w:numPr>
      </w:pPr>
      <w:r>
        <w:t xml:space="preserve">Further evidence that delayed large deals are progressing, rather than merely remaining in the pipeline;</w:t>
      </w:r>
    </w:p>
    <w:p>
      <w:pPr>
        <w:pStyle w:val="Compact"/>
        <w:numPr>
          <w:ilvl w:val="0"/>
          <w:numId w:val="1006"/>
        </w:numPr>
      </w:pPr>
      <w:r>
        <w:t xml:space="preserve">Confirmation that backlog conversion, positions, volume, and acquired revenue support continued growth next year;</w:t>
      </w:r>
    </w:p>
    <w:p>
      <w:pPr>
        <w:pStyle w:val="Compact"/>
        <w:numPr>
          <w:ilvl w:val="0"/>
          <w:numId w:val="1006"/>
        </w:numPr>
      </w:pPr>
      <w:r>
        <w:t xml:space="preserve">A FY27 framework consistent with its longstanding</w:t>
      </w:r>
      <w:r>
        <w:t xml:space="preserve"> </w:t>
      </w:r>
      <w:r>
        <w:rPr>
          <w:b/>
          <w:bCs/>
        </w:rPr>
        <w:t xml:space="preserve">5%–7% organic recurring-growth</w:t>
      </w:r>
      <w:r>
        <w:t xml:space="preserve"> </w:t>
      </w:r>
      <w:r>
        <w:t xml:space="preserve">algorithm, supplemented by acquisitions.</w:t>
      </w:r>
    </w:p>
    <w:p>
      <w:pPr>
        <w:pStyle w:val="FirstParagraph"/>
      </w:pPr>
      <w:r>
        <w:t xml:space="preserve">Conversely, another sales shortfall or vague commentary on deal timing would likely renew concerns that the pipeline is less convertible than management suggests.</w:t>
      </w:r>
    </w:p>
    <w:bookmarkEnd w:id="16"/>
    <w:bookmarkEnd w:id="17"/>
    <w:bookmarkStart w:id="18" w:name="fy27-outlook-the-real-catalyst"/>
    <w:p>
      <w:pPr>
        <w:pStyle w:val="Heading2"/>
      </w:pPr>
      <w:r>
        <w:t xml:space="preserve">FY27 outlook: the real catalyst</w:t>
      </w:r>
    </w:p>
    <w:p>
      <w:pPr>
        <w:pStyle w:val="FirstParagraph"/>
      </w:pPr>
      <w:r>
        <w:t xml:space="preserve">The fiscal year-end report should include Broadridge’s initial FY27 guidance and/or a refreshed multi-year outlook. Investors will likely focus on four questions: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Can recurring revenue sustain high-single-digit reported growth?</w:t>
      </w:r>
      <w:r>
        <w:br/>
      </w:r>
      <w:r>
        <w:t xml:space="preserve">The company’s traditional framework is 5%–7% organic recurring growth, plus roughly 1–2 points from tuck-in M&amp;A. FY26 benefited from unusually strong equity positions, trading volumes, event activity, and acquisitions. The durability of those tailwinds is key.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Will adjusted EPS remain in the 8%–12% long-term range?</w:t>
      </w:r>
      <w:r>
        <w:br/>
      </w:r>
      <w:r>
        <w:t xml:space="preserve">FY26’s 10%–12% adjusted EPS growth is strong, but part of the Q4 investment program shifts the focus to whether BR can maintain double-digit growth while investing for AI and tokenization.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Will AI be a margin and revenue tailwind rather than a disruption?</w:t>
      </w:r>
      <w:r>
        <w:br/>
      </w:r>
      <w:r>
        <w:t xml:space="preserve">Management reports approximately 25% productivity improvement in managed services, with line of sight to another 25%, and has positioned AI partnerships as a way to share savings with clients. Investors need concrete evidence that this produces net incremental revenue and/or productivity rather than pricing pressure.</w:t>
      </w:r>
    </w:p>
    <w:p>
      <w:pPr>
        <w:numPr>
          <w:ilvl w:val="0"/>
          <w:numId w:val="1007"/>
        </w:numPr>
      </w:pPr>
      <w:r>
        <w:rPr>
          <w:b/>
          <w:bCs/>
        </w:rPr>
        <w:t xml:space="preserve">Does tokenization create incremental demand or disintermediate the proxy franchise?</w:t>
      </w:r>
      <w:r>
        <w:br/>
      </w:r>
      <w:r>
        <w:t xml:space="preserve">Management’s answer has been emphatic: tokenized securities still require voting, governance, communications, and connectivity; Broadridge believes it is positioned across issuer-sponsored, intermediary-led, and synthetic tokenization models. The immediate commercial opportunity appears greatest in capital-markets collateral mobility and digital repo, while tokenized-equity governance is a longer-duration optionality.</w:t>
      </w:r>
    </w:p>
    <w:bookmarkEnd w:id="18"/>
    <w:bookmarkStart w:id="19" w:name="capital-allocation-and-balance-sheet"/>
    <w:p>
      <w:pPr>
        <w:pStyle w:val="Heading2"/>
      </w:pPr>
      <w:r>
        <w:t xml:space="preserve">Capital allocation and balance sheet</w:t>
      </w:r>
    </w:p>
    <w:p>
      <w:pPr>
        <w:pStyle w:val="FirstParagraph"/>
      </w:pPr>
      <w:r>
        <w:t xml:space="preserve">Broadridge generated $591M of free cash flow through the first nine months and expected</w:t>
      </w:r>
      <w:r>
        <w:t xml:space="preserve"> </w:t>
      </w:r>
      <w:r>
        <w:rPr>
          <w:b/>
          <w:bCs/>
        </w:rPr>
        <w:t xml:space="preserve">more than $1.1B of full-year free cash flow</w:t>
      </w:r>
      <w:r>
        <w:t xml:space="preserve">. It had returned $681M to shareholders through dividends and buybacks through Q3, including approximately $350M of share repurchases.</w:t>
      </w:r>
    </w:p>
    <w:p>
      <w:pPr>
        <w:pStyle w:val="BodyText"/>
      </w:pPr>
      <w:r>
        <w:t xml:space="preserve">The company also completed four acquisitions in FY26 totaling approximately $294M, including CQG. Its leverage ratio was 1.9x at Q3, below its stated 2.0x–2.5x target range.</w:t>
      </w:r>
    </w:p>
    <w:p>
      <w:pPr>
        <w:pStyle w:val="BodyText"/>
      </w:pPr>
      <w:r>
        <w:t xml:space="preserve">One important post-Q3 balance-sheet development: in May, Broadridge issued</w:t>
      </w:r>
      <w:r>
        <w:t xml:space="preserve"> </w:t>
      </w:r>
      <w:r>
        <w:rPr>
          <w:b/>
          <w:bCs/>
        </w:rPr>
        <w:t xml:space="preserve">$500M of 5.75% senior notes due 2036</w:t>
      </w:r>
      <w:r>
        <w:t xml:space="preserve"> </w:t>
      </w:r>
      <w:r>
        <w:t xml:space="preserve">and used the proceeds, along with cash, to repay its</w:t>
      </w:r>
      <w:r>
        <w:t xml:space="preserve"> </w:t>
      </w:r>
      <w:r>
        <w:rPr>
          <w:b/>
          <w:bCs/>
        </w:rPr>
        <w:t xml:space="preserve">3.40% notes due 2026</w:t>
      </w:r>
      <w:r>
        <w:t xml:space="preserve">. This removes a near-term maturity but raises the company’s long-dated interest cost. Investors should watch for any updated commentary on interest expense, buyback capacity, and the relative priority of M&amp;A versus repurchases.</w:t>
      </w:r>
    </w:p>
    <w:bookmarkEnd w:id="19"/>
    <w:bookmarkStart w:id="20" w:name="bull-case-into-earnings"/>
    <w:p>
      <w:pPr>
        <w:pStyle w:val="Heading2"/>
      </w:pPr>
      <w:r>
        <w:t xml:space="preserve">Bull case into earnings</w:t>
      </w:r>
    </w:p>
    <w:p>
      <w:pPr>
        <w:pStyle w:val="Compact"/>
        <w:numPr>
          <w:ilvl w:val="0"/>
          <w:numId w:val="1008"/>
        </w:numPr>
      </w:pPr>
      <w:r>
        <w:t xml:space="preserve">Core activity trends remain favorable: high equity revenue-position growth, healthy fund positions, and robust trading volumes.</w:t>
      </w:r>
    </w:p>
    <w:p>
      <w:pPr>
        <w:pStyle w:val="Compact"/>
        <w:numPr>
          <w:ilvl w:val="0"/>
          <w:numId w:val="1008"/>
        </w:numPr>
      </w:pPr>
      <w:r>
        <w:t xml:space="preserve">Broadridge has unusually strong visibility into proxy-related revenue late in the fiscal year.</w:t>
      </w:r>
    </w:p>
    <w:p>
      <w:pPr>
        <w:pStyle w:val="Compact"/>
        <w:numPr>
          <w:ilvl w:val="0"/>
          <w:numId w:val="1008"/>
        </w:numPr>
      </w:pPr>
      <w:r>
        <w:t xml:space="preserve">FY26 guidance was raised, not merely maintained, at Q3.</w:t>
      </w:r>
    </w:p>
    <w:p>
      <w:pPr>
        <w:pStyle w:val="Compact"/>
        <w:numPr>
          <w:ilvl w:val="0"/>
          <w:numId w:val="1008"/>
        </w:numPr>
      </w:pPr>
      <w:r>
        <w:t xml:space="preserve">Free-cash-flow conversion is strong, supporting dividends, buybacks, and selective M&amp;A.</w:t>
      </w:r>
    </w:p>
    <w:p>
      <w:pPr>
        <w:pStyle w:val="Compact"/>
        <w:numPr>
          <w:ilvl w:val="0"/>
          <w:numId w:val="1008"/>
        </w:numPr>
      </w:pPr>
      <w:r>
        <w:t xml:space="preserve">CQG and other acquisitions add revenue, product capability, and cross-sell potential.</w:t>
      </w:r>
    </w:p>
    <w:p>
      <w:pPr>
        <w:pStyle w:val="Compact"/>
        <w:numPr>
          <w:ilvl w:val="0"/>
          <w:numId w:val="1008"/>
        </w:numPr>
      </w:pPr>
      <w:r>
        <w:t xml:space="preserve">The valuation and stock decline may leave room for upside if BR demonstrates that AI and tokenization are commercial tailwinds—not threats to its entrenched market-infrastructure position.</w:t>
      </w:r>
    </w:p>
    <w:bookmarkEnd w:id="20"/>
    <w:bookmarkStart w:id="21" w:name="bear-case-into-earnings"/>
    <w:p>
      <w:pPr>
        <w:pStyle w:val="Heading2"/>
      </w:pPr>
      <w:r>
        <w:t xml:space="preserve">Bear case into earnings</w:t>
      </w:r>
    </w:p>
    <w:p>
      <w:pPr>
        <w:pStyle w:val="Compact"/>
        <w:numPr>
          <w:ilvl w:val="0"/>
          <w:numId w:val="1009"/>
        </w:numPr>
      </w:pPr>
      <w:r>
        <w:t xml:space="preserve">Q4 adjusted EPS growth is expected to decelerate to low/mid single digits because of investment and mix headwinds.</w:t>
      </w:r>
    </w:p>
    <w:p>
      <w:pPr>
        <w:pStyle w:val="Compact"/>
        <w:numPr>
          <w:ilvl w:val="0"/>
          <w:numId w:val="1009"/>
        </w:numPr>
      </w:pPr>
      <w:r>
        <w:t xml:space="preserve">Closed-sales guidance was cut meaningfully, and a weak Q4 would weaken confidence in backlog conversion and medium-term growth.</w:t>
      </w:r>
    </w:p>
    <w:p>
      <w:pPr>
        <w:pStyle w:val="Compact"/>
        <w:numPr>
          <w:ilvl w:val="0"/>
          <w:numId w:val="1009"/>
        </w:numPr>
      </w:pPr>
      <w:r>
        <w:t xml:space="preserve">Capital Markets faces software-license timing noise; Wealth faces a Q4 license headwind.</w:t>
      </w:r>
    </w:p>
    <w:p>
      <w:pPr>
        <w:pStyle w:val="Compact"/>
        <w:numPr>
          <w:ilvl w:val="0"/>
          <w:numId w:val="1009"/>
        </w:numPr>
      </w:pPr>
      <w:r>
        <w:t xml:space="preserve">Higher distribution revenue lifts reported sales but dilutes margins.</w:t>
      </w:r>
    </w:p>
    <w:p>
      <w:pPr>
        <w:pStyle w:val="Compact"/>
        <w:numPr>
          <w:ilvl w:val="0"/>
          <w:numId w:val="1009"/>
        </w:numPr>
      </w:pPr>
      <w:r>
        <w:t xml:space="preserve">Tokenization and AI may remain narrative-heavy for longer than investors expect, with uncertain near-term monetization.</w:t>
      </w:r>
    </w:p>
    <w:p>
      <w:pPr>
        <w:pStyle w:val="Compact"/>
        <w:numPr>
          <w:ilvl w:val="0"/>
          <w:numId w:val="1009"/>
        </w:numPr>
      </w:pPr>
      <w:r>
        <w:t xml:space="preserve">New debt refinancing raises interest expense over time versus the 3.40% notes it replaced.</w:t>
      </w:r>
    </w:p>
    <w:bookmarkEnd w:id="21"/>
    <w:bookmarkStart w:id="2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The report is a proof point for the durability of the model, not just a quarter-end scorecard.</w:t>
      </w:r>
      <w:r>
        <w:t xml:space="preserve"> </w:t>
      </w:r>
      <w:r>
        <w:t xml:space="preserve">Broadridge appears positioned to achieve its FY26 financial guide, supported by highly visible proxy-position trends, solid GTO activity, CQG, and strong cash generation. The larger stock catalyst will be whether management can pair that delivery with a credible FY27 outlook, demonstrate that delayed sales are converting, and quantify how AI, shareholder engagement, tokenization, and digital communications translate into sustainable revenue and margin expansion.</w:t>
      </w:r>
    </w:p>
    <w:p>
      <w:pPr>
        <w:pStyle w:val="BodyText"/>
      </w:pPr>
      <w:r>
        <w:t xml:space="preserve">The cleanest bullish outcome would be:</w:t>
      </w:r>
      <w:r>
        <w:t xml:space="preserve"> </w:t>
      </w:r>
      <w:r>
        <w:rPr>
          <w:b/>
          <w:bCs/>
        </w:rPr>
        <w:t xml:space="preserve">recurring growth above 7% constant currency, adjusted EPS near the upper end of the 10%–12% range, solid Q4 closed sales, and FY27 guidance that preserves the company’s high-single-digit revenue / double-digit EPS narrative.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2026-08-04T00:52:49Z</dcterms:created>
  <dcterms:modified xsi:type="dcterms:W3CDTF">2026-08-04T00:52:49Z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