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Broadridge Financial Solutions (BR)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Broadridge Financial Solutions, Inc.</w:t>
            </w:r>
          </w:p>
        </w:tc>
      </w:tr>
      <w:tr>
        <w:tc>
          <w:tcPr>
            <w:tcW w:type="dxa" w:w="4320"/>
          </w:tcPr>
          <w:p>
            <w:r>
              <w:rPr>
                <w:rFonts w:ascii="Calibri" w:hAnsi="Calibri"/>
                <w:b/>
                <w:sz w:val="22"/>
              </w:rPr>
              <w:t>Ticker</w:t>
            </w:r>
          </w:p>
        </w:tc>
        <w:tc>
          <w:tcPr>
            <w:tcW w:type="dxa" w:w="4320"/>
          </w:tcPr>
          <w:p>
            <w:r>
              <w:rPr>
                <w:rFonts w:ascii="Calibri" w:hAnsi="Calibri"/>
                <w:sz w:val="22"/>
              </w:rPr>
              <w:t>BR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 (Tomorrow)</w:t>
            </w:r>
          </w:p>
        </w:tc>
      </w:tr>
      <w:tr>
        <w:tc>
          <w:tcPr>
            <w:tcW w:type="dxa" w:w="4320"/>
          </w:tcPr>
          <w:p>
            <w:r>
              <w:rPr>
                <w:rFonts w:ascii="Calibri" w:hAnsi="Calibri"/>
                <w:b/>
                <w:sz w:val="22"/>
              </w:rPr>
              <w:t>Reporting Period</w:t>
            </w:r>
          </w:p>
        </w:tc>
        <w:tc>
          <w:tcPr>
            <w:tcW w:type="dxa" w:w="4320"/>
          </w:tcPr>
          <w:p>
            <w:r>
              <w:rPr>
                <w:rFonts w:ascii="Calibri" w:hAnsi="Calibri"/>
                <w:sz w:val="22"/>
              </w:rPr>
              <w:t>Q4 FY2026 (Quarter Ended June 30, 2026)</w:t>
            </w:r>
          </w:p>
        </w:tc>
      </w:tr>
      <w:tr>
        <w:tc>
          <w:tcPr>
            <w:tcW w:type="dxa" w:w="4320"/>
          </w:tcPr>
          <w:p>
            <w:r>
              <w:rPr>
                <w:rFonts w:ascii="Calibri" w:hAnsi="Calibri"/>
                <w:b/>
                <w:sz w:val="22"/>
              </w:rPr>
              <w:t>Last Reported Quarter</w:t>
            </w:r>
          </w:p>
        </w:tc>
        <w:tc>
          <w:tcPr>
            <w:tcW w:type="dxa" w:w="4320"/>
          </w:tcPr>
          <w:p>
            <w:r>
              <w:rPr>
                <w:rFonts w:ascii="Calibri" w:hAnsi="Calibri"/>
                <w:sz w:val="22"/>
              </w:rPr>
              <w:t>Q3 FY2026 (Reported April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with </w:t>
      </w:r>
      <w:r>
        <w:rPr>
          <w:rFonts w:ascii="Calibri" w:hAnsi="Calibri"/>
          <w:b/>
          <w:color w:val="525866"/>
          <w:sz w:val="22"/>
        </w:rPr>
        <w:t>low-to-mid single-digit adjusted EPS growth</w:t>
      </w:r>
      <w:r>
        <w:rPr>
          <w:rFonts w:ascii="Calibri" w:hAnsi="Calibri"/>
          <w:color w:val="525866"/>
          <w:sz w:val="22"/>
        </w:rPr>
        <w:t xml:space="preserve"> implied for Q4 — but the single biggest swing factor is whether </w:t>
      </w:r>
      <w:r>
        <w:rPr>
          <w:rFonts w:ascii="Calibri" w:hAnsi="Calibri"/>
          <w:b/>
          <w:color w:val="525866"/>
          <w:sz w:val="22"/>
        </w:rPr>
        <w:t>closed sales</w:t>
      </w:r>
      <w:r>
        <w:rPr>
          <w:rFonts w:ascii="Calibri" w:hAnsi="Calibri"/>
          <w:color w:val="525866"/>
          <w:sz w:val="22"/>
        </w:rPr>
        <w:t xml:space="preserve"> show any sequential improvement after the guidance cut to $240–290M, which spooked investors last quarter.</w:t>
      </w:r>
    </w:p>
    <w:p>
      <w:r>
        <w:rPr>
          <w:rFonts w:ascii="Calibri" w:hAnsi="Calibri"/>
          <w:color w:val="525866"/>
          <w:sz w:val="22"/>
        </w:rPr>
        <w:t xml:space="preserve">Heading into Q4 FY2026 earnings, the bar for Broadridge is deliberately set low by management's own guidance: the Q3 call explicitly flagged </w:t>
      </w:r>
      <w:r>
        <w:rPr>
          <w:rFonts w:ascii="Calibri" w:hAnsi="Calibri"/>
          <w:b/>
          <w:color w:val="525866"/>
          <w:sz w:val="22"/>
        </w:rPr>
        <w:t>low-to-mid single-digit adjusted EPS growth</w:t>
      </w:r>
      <w:r>
        <w:rPr>
          <w:rFonts w:ascii="Calibri" w:hAnsi="Calibri"/>
          <w:color w:val="525866"/>
          <w:sz w:val="22"/>
        </w:rPr>
        <w:t xml:space="preserve"> for Q4, reflecting elevated investment spending, a 5-point license revenue headwind in GTO Wealth, and only a partial offset from the CQG acquisition (contributing ~3 points to capital markets). Consensus adjusted EPS of $3.77 and total revenue of ~$2.16B are well-anchored to that guidance, making a clean beat achievable if position growth holds and event-driven revenue surprises to the upside. Management raised full-year recurring revenue guidance to </w:t>
      </w:r>
      <w:r>
        <w:rPr>
          <w:rFonts w:ascii="Calibri" w:hAnsi="Calibri"/>
          <w:b/>
          <w:color w:val="525866"/>
          <w:sz w:val="22"/>
        </w:rPr>
        <w:t>“at or above 7%”</w:t>
      </w:r>
      <w:r>
        <w:rPr>
          <w:rFonts w:ascii="Calibri" w:hAnsi="Calibri"/>
          <w:color w:val="525866"/>
          <w:sz w:val="22"/>
        </w:rPr>
        <w:t xml:space="preserve"> and adjusted EPS to </w:t>
      </w:r>
      <w:r>
        <w:rPr>
          <w:rFonts w:ascii="Calibri" w:hAnsi="Calibri"/>
          <w:b/>
          <w:color w:val="525866"/>
          <w:sz w:val="22"/>
        </w:rPr>
        <w:t>10–12%</w:t>
      </w:r>
      <w:r>
        <w:rPr>
          <w:rFonts w:ascii="Calibri" w:hAnsi="Calibri"/>
          <w:color w:val="525866"/>
          <w:sz w:val="22"/>
        </w:rPr>
        <w:t xml:space="preserve"> at Q3, and has since reiterated confidence at the Needham, Bernstein, and RBC conferences — tone has been consistently constructive with no negative pre-announcements. Estimate revisions have been stable-to-slightly-positive since the Q3 print, with the full-year EPS consensus of ~$9.56 essentially unchanged from the post-Q3 baseline, suggesting the street has fully digested the closed sales cut and is not pricing in further deterioration. The stock has underperformed the S&amp;P 500 materially since last earnings (BR ~+2% vs. SPY ~+5% through August 3), trading near the low end of its historical P/E range and offering a compelling entry if management can demonstrate that the closed sales pipeline is converting — the wildcard is whether Q4 closed sales ($135M consensus) show any acceleration, which would be the clearest signal that the elongated deal cycle narrative is timing, not demand.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for Q4 — management pre-guided to low-to-mid single-digit EPS growth and the street is aligned. </w:t>
      </w:r>
      <w:r>
        <w:rPr>
          <w:rFonts w:ascii="Calibri" w:hAnsi="Calibri"/>
          <w:b/>
          <w:color w:val="525866"/>
          <w:sz w:val="22"/>
        </w:rPr>
        <w:t>Recurring fee revenue</w:t>
      </w:r>
      <w:r>
        <w:rPr>
          <w:rFonts w:ascii="Calibri" w:hAnsi="Calibri"/>
          <w:color w:val="525866"/>
          <w:sz w:val="22"/>
        </w:rPr>
        <w:t xml:space="preserve"> is the bigger swing factor given the proxy season visibility management cited (93% of proxies received), while </w:t>
      </w:r>
      <w:r>
        <w:rPr>
          <w:rFonts w:ascii="Calibri" w:hAnsi="Calibri"/>
          <w:b/>
          <w:color w:val="525866"/>
          <w:sz w:val="22"/>
        </w:rPr>
        <w:t>closed sales</w:t>
      </w:r>
      <w:r>
        <w:rPr>
          <w:rFonts w:ascii="Calibri" w:hAnsi="Calibri"/>
          <w:color w:val="525866"/>
          <w:sz w:val="22"/>
        </w:rPr>
        <w:t xml:space="preserve"> is the key sentiment driver regardless of the financial beat/miss.</w:t>
      </w:r>
    </w:p>
    <w:p>
      <w:pPr>
        <w:pStyle w:val="Heading3"/>
      </w:pPr>
      <w:r>
        <w:rPr>
          <w:rFonts w:ascii="Calibri" w:hAnsi="Calibri"/>
          <w:b/>
          <w:color w:val="3B4259"/>
          <w:sz w:val="24"/>
        </w:rPr>
        <w:t>Table 1 — Q4 FY2026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w:t>
            </w:r>
          </w:p>
        </w:tc>
        <w:tc>
          <w:tcPr>
            <w:tcW w:type="dxa" w:w="1234"/>
            <w:shd w:val="clear" w:color="auto" w:fill="3B4259"/>
          </w:tcPr>
          <w:p>
            <w:r>
              <w:rPr>
                <w:rFonts w:ascii="Calibri" w:hAnsi="Calibri"/>
                <w:b/>
                <w:color w:val="FFFFFF"/>
                <w:sz w:val="22"/>
              </w:rPr>
              <w:t>Q4 FY2025 Actual (Prior Year)</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$1,953.6M</w:t>
            </w:r>
          </w:p>
        </w:tc>
        <w:tc>
          <w:tcPr>
            <w:tcW w:type="dxa" w:w="1234"/>
          </w:tcPr>
          <w:p>
            <w:r>
              <w:rPr>
                <w:rFonts w:ascii="Calibri" w:hAnsi="Calibri"/>
                <w:sz w:val="22"/>
              </w:rPr>
              <w:t>$2,065.4M</w:t>
            </w:r>
          </w:p>
        </w:tc>
        <w:tc>
          <w:tcPr>
            <w:tcW w:type="dxa" w:w="1234"/>
          </w:tcPr>
          <w:p>
            <w:r>
              <w:rPr>
                <w:rFonts w:ascii="Calibri" w:hAnsi="Calibri"/>
                <w:sz w:val="22"/>
              </w:rPr>
              <w:t>$2,164.1M</w:t>
            </w:r>
          </w:p>
        </w:tc>
        <w:tc>
          <w:tcPr>
            <w:tcW w:type="dxa" w:w="1234"/>
          </w:tcPr>
          <w:p>
            <w:r>
              <w:rPr>
                <w:rFonts w:ascii="Calibri" w:hAnsi="Calibri"/>
                <w:sz w:val="22"/>
              </w:rPr>
              <w:t>+4.8% YoY</w:t>
            </w:r>
          </w:p>
        </w:tc>
        <w:tc>
          <w:tcPr>
            <w:tcW w:type="dxa" w:w="1234"/>
          </w:tcPr>
          <w:p>
            <w:r>
              <w:rPr>
                <w:rFonts w:ascii="Calibri" w:hAnsi="Calibri"/>
                <w:sz w:val="22"/>
              </w:rPr>
              <w:t>At or above 7% recurring rev growth (FY)</w:t>
            </w:r>
          </w:p>
        </w:tc>
        <w:tc>
          <w:tcPr>
            <w:tcW w:type="dxa" w:w="1234"/>
          </w:tcPr>
          <w:p>
            <w:r>
              <w:rPr>
                <w:rFonts w:ascii="Calibri" w:hAnsi="Calibri"/>
                <w:sz w:val="22"/>
              </w:rPr>
              <w:t>N/A (total rev not guided directly)</w:t>
            </w:r>
          </w:p>
        </w:tc>
      </w:tr>
      <w:tr>
        <w:tc>
          <w:tcPr>
            <w:tcW w:type="dxa" w:w="1234"/>
          </w:tcPr>
          <w:p>
            <w:r>
              <w:rPr>
                <w:rFonts w:ascii="Calibri" w:hAnsi="Calibri"/>
                <w:sz w:val="22"/>
              </w:rPr>
              <w:t>Recurring Fee Revenue ($M)</w:t>
            </w:r>
          </w:p>
        </w:tc>
        <w:tc>
          <w:tcPr>
            <w:tcW w:type="dxa" w:w="1234"/>
          </w:tcPr>
          <w:p>
            <w:r>
              <w:rPr>
                <w:rFonts w:ascii="Calibri" w:hAnsi="Calibri"/>
                <w:sz w:val="22"/>
              </w:rPr>
              <w:t>$1,288.1M</w:t>
            </w:r>
          </w:p>
        </w:tc>
        <w:tc>
          <w:tcPr>
            <w:tcW w:type="dxa" w:w="1234"/>
          </w:tcPr>
          <w:p>
            <w:r>
              <w:rPr>
                <w:rFonts w:ascii="Calibri" w:hAnsi="Calibri"/>
                <w:sz w:val="22"/>
              </w:rPr>
              <w:t>$1,423.6M</w:t>
            </w:r>
          </w:p>
        </w:tc>
        <w:tc>
          <w:tcPr>
            <w:tcW w:type="dxa" w:w="1234"/>
          </w:tcPr>
          <w:p>
            <w:r>
              <w:rPr>
                <w:rFonts w:ascii="Calibri" w:hAnsi="Calibri"/>
                <w:sz w:val="22"/>
              </w:rPr>
              <w:t>$1,506.7M</w:t>
            </w:r>
          </w:p>
        </w:tc>
        <w:tc>
          <w:tcPr>
            <w:tcW w:type="dxa" w:w="1234"/>
          </w:tcPr>
          <w:p>
            <w:r>
              <w:rPr>
                <w:rFonts w:ascii="Calibri" w:hAnsi="Calibri"/>
                <w:sz w:val="22"/>
              </w:rPr>
              <w:t>+5.8% YoY</w:t>
            </w:r>
          </w:p>
        </w:tc>
        <w:tc>
          <w:tcPr>
            <w:tcW w:type="dxa" w:w="1234"/>
          </w:tcPr>
          <w:p>
            <w:r>
              <w:rPr>
                <w:rFonts w:ascii="Calibri" w:hAnsi="Calibri"/>
                <w:sz w:val="22"/>
              </w:rPr>
              <w:t>At or above 7% CC growth (FY)</w:t>
            </w:r>
          </w:p>
        </w:tc>
        <w:tc>
          <w:tcPr>
            <w:tcW w:type="dxa" w:w="1234"/>
          </w:tcPr>
          <w:p>
            <w:r>
              <w:rPr>
                <w:rFonts w:ascii="Calibri" w:hAnsi="Calibri"/>
                <w:sz w:val="22"/>
              </w:rPr>
              <w:t>Tracking to guidance</w:t>
            </w:r>
          </w:p>
        </w:tc>
      </w:tr>
      <w:tr>
        <w:tc>
          <w:tcPr>
            <w:tcW w:type="dxa" w:w="1234"/>
          </w:tcPr>
          <w:p>
            <w:r>
              <w:rPr>
                <w:rFonts w:ascii="Calibri" w:hAnsi="Calibri"/>
                <w:sz w:val="22"/>
              </w:rPr>
              <w:t>Adjusted EPS (Operating)</w:t>
            </w:r>
          </w:p>
        </w:tc>
        <w:tc>
          <w:tcPr>
            <w:tcW w:type="dxa" w:w="1234"/>
          </w:tcPr>
          <w:p>
            <w:r>
              <w:rPr>
                <w:rFonts w:ascii="Calibri" w:hAnsi="Calibri"/>
                <w:sz w:val="22"/>
              </w:rPr>
              <w:t>$2.72</w:t>
            </w:r>
          </w:p>
        </w:tc>
        <w:tc>
          <w:tcPr>
            <w:tcW w:type="dxa" w:w="1234"/>
          </w:tcPr>
          <w:p>
            <w:r>
              <w:rPr>
                <w:rFonts w:ascii="Calibri" w:hAnsi="Calibri"/>
                <w:sz w:val="22"/>
              </w:rPr>
              <w:t>$3.55</w:t>
            </w:r>
          </w:p>
        </w:tc>
        <w:tc>
          <w:tcPr>
            <w:tcW w:type="dxa" w:w="1234"/>
          </w:tcPr>
          <w:p>
            <w:r>
              <w:rPr>
                <w:rFonts w:ascii="Calibri" w:hAnsi="Calibri"/>
                <w:sz w:val="22"/>
              </w:rPr>
              <w:t>$3.77</w:t>
            </w:r>
          </w:p>
        </w:tc>
        <w:tc>
          <w:tcPr>
            <w:tcW w:type="dxa" w:w="1234"/>
          </w:tcPr>
          <w:p>
            <w:r>
              <w:rPr>
                <w:rFonts w:ascii="Calibri" w:hAnsi="Calibri"/>
                <w:sz w:val="22"/>
              </w:rPr>
              <w:t>+6.2% YoY</w:t>
            </w:r>
          </w:p>
        </w:tc>
        <w:tc>
          <w:tcPr>
            <w:tcW w:type="dxa" w:w="1234"/>
          </w:tcPr>
          <w:p>
            <w:r>
              <w:rPr>
                <w:rFonts w:ascii="Calibri" w:hAnsi="Calibri"/>
                <w:sz w:val="22"/>
              </w:rPr>
              <w:t>Low-to-mid single-digit Q4 growth (implied)</w:t>
            </w:r>
          </w:p>
        </w:tc>
        <w:tc>
          <w:tcPr>
            <w:tcW w:type="dxa" w:w="1234"/>
          </w:tcPr>
          <w:p>
            <w:r>
              <w:rPr>
                <w:rFonts w:ascii="Calibri" w:hAnsi="Calibri"/>
                <w:sz w:val="22"/>
              </w:rPr>
              <w:t>~+6% vs. low-mid single-digit — at high end</w:t>
            </w:r>
          </w:p>
        </w:tc>
      </w:tr>
      <w:tr>
        <w:tc>
          <w:tcPr>
            <w:tcW w:type="dxa" w:w="1234"/>
          </w:tcPr>
          <w:p>
            <w:r>
              <w:rPr>
                <w:rFonts w:ascii="Calibri" w:hAnsi="Calibri"/>
                <w:sz w:val="22"/>
              </w:rPr>
              <w:t>Event-Driven Revenue — ICS ($M)</w:t>
            </w:r>
          </w:p>
        </w:tc>
        <w:tc>
          <w:tcPr>
            <w:tcW w:type="dxa" w:w="1234"/>
          </w:tcPr>
          <w:p>
            <w:r>
              <w:rPr>
                <w:rFonts w:ascii="Calibri" w:hAnsi="Calibri"/>
                <w:sz w:val="22"/>
              </w:rPr>
              <w:t>$72.7M</w:t>
            </w:r>
          </w:p>
        </w:tc>
        <w:tc>
          <w:tcPr>
            <w:tcW w:type="dxa" w:w="1234"/>
          </w:tcPr>
          <w:p>
            <w:r>
              <w:rPr>
                <w:rFonts w:ascii="Calibri" w:hAnsi="Calibri"/>
                <w:sz w:val="22"/>
              </w:rPr>
              <w:t>$78.9M</w:t>
            </w:r>
          </w:p>
        </w:tc>
        <w:tc>
          <w:tcPr>
            <w:tcW w:type="dxa" w:w="1234"/>
          </w:tcPr>
          <w:p>
            <w:r>
              <w:rPr>
                <w:rFonts w:ascii="Calibri" w:hAnsi="Calibri"/>
                <w:sz w:val="22"/>
              </w:rPr>
              <w:t>$69.0M</w:t>
            </w:r>
          </w:p>
        </w:tc>
        <w:tc>
          <w:tcPr>
            <w:tcW w:type="dxa" w:w="1234"/>
          </w:tcPr>
          <w:p>
            <w:r>
              <w:rPr>
                <w:rFonts w:ascii="Calibri" w:hAnsi="Calibri"/>
                <w:sz w:val="22"/>
              </w:rPr>
              <w:t>-12.5% YoY</w:t>
            </w:r>
          </w:p>
        </w:tc>
        <w:tc>
          <w:tcPr>
            <w:tcW w:type="dxa" w:w="1234"/>
          </w:tcPr>
          <w:p>
            <w:r>
              <w:rPr>
                <w:rFonts w:ascii="Calibri" w:hAnsi="Calibri"/>
                <w:sz w:val="22"/>
              </w:rPr>
              <w:t>No specific Q4 guidance</w:t>
            </w:r>
          </w:p>
        </w:tc>
        <w:tc>
          <w:tcPr>
            <w:tcW w:type="dxa" w:w="1234"/>
          </w:tcPr>
          <w:p>
            <w:r>
              <w:rPr>
                <w:rFonts w:ascii="Calibri" w:hAnsi="Calibri"/>
                <w:sz w:val="22"/>
              </w:rPr>
              <w:t>N/A</w:t>
            </w:r>
          </w:p>
        </w:tc>
      </w:tr>
      <w:tr>
        <w:tc>
          <w:tcPr>
            <w:tcW w:type="dxa" w:w="1234"/>
          </w:tcPr>
          <w:p>
            <w:r>
              <w:rPr>
                <w:rFonts w:ascii="Calibri" w:hAnsi="Calibri"/>
                <w:sz w:val="22"/>
              </w:rPr>
              <w:t>GTO Revenue ($M)</w:t>
            </w:r>
          </w:p>
        </w:tc>
        <w:tc>
          <w:tcPr>
            <w:tcW w:type="dxa" w:w="1234"/>
          </w:tcPr>
          <w:p>
            <w:r>
              <w:rPr>
                <w:rFonts w:ascii="Calibri" w:hAnsi="Calibri"/>
                <w:sz w:val="22"/>
              </w:rPr>
              <w:t>$488.3M</w:t>
            </w:r>
          </w:p>
        </w:tc>
        <w:tc>
          <w:tcPr>
            <w:tcW w:type="dxa" w:w="1234"/>
          </w:tcPr>
          <w:p>
            <w:r>
              <w:rPr>
                <w:rFonts w:ascii="Calibri" w:hAnsi="Calibri"/>
                <w:sz w:val="22"/>
              </w:rPr>
              <w:t>$464.7M</w:t>
            </w:r>
          </w:p>
        </w:tc>
        <w:tc>
          <w:tcPr>
            <w:tcW w:type="dxa" w:w="1234"/>
          </w:tcPr>
          <w:p>
            <w:r>
              <w:rPr>
                <w:rFonts w:ascii="Calibri" w:hAnsi="Calibri"/>
                <w:sz w:val="22"/>
              </w:rPr>
              <w:t>$483.6M</w:t>
            </w:r>
          </w:p>
        </w:tc>
        <w:tc>
          <w:tcPr>
            <w:tcW w:type="dxa" w:w="1234"/>
          </w:tcPr>
          <w:p>
            <w:r>
              <w:rPr>
                <w:rFonts w:ascii="Calibri" w:hAnsi="Calibri"/>
                <w:sz w:val="22"/>
              </w:rPr>
              <w:t>+4.1% YoY</w:t>
            </w:r>
          </w:p>
        </w:tc>
        <w:tc>
          <w:tcPr>
            <w:tcW w:type="dxa" w:w="1234"/>
          </w:tcPr>
          <w:p>
            <w:r>
              <w:rPr>
                <w:rFonts w:ascii="Calibri" w:hAnsi="Calibri"/>
                <w:sz w:val="22"/>
              </w:rPr>
              <w:t>+3pt CQG contribution; -5pt license headwind in Wealth</w:t>
            </w:r>
          </w:p>
        </w:tc>
        <w:tc>
          <w:tcPr>
            <w:tcW w:type="dxa" w:w="1234"/>
          </w:tcPr>
          <w:p>
            <w:r>
              <w:rPr>
                <w:rFonts w:ascii="Calibri" w:hAnsi="Calibri"/>
                <w:sz w:val="22"/>
              </w:rPr>
              <w:t>Tracking to guidance</w:t>
            </w:r>
          </w:p>
        </w:tc>
      </w:tr>
      <w:tr>
        <w:tc>
          <w:tcPr>
            <w:tcW w:type="dxa" w:w="1234"/>
          </w:tcPr>
          <w:p>
            <w:r>
              <w:rPr>
                <w:rFonts w:ascii="Calibri" w:hAnsi="Calibri"/>
                <w:sz w:val="22"/>
              </w:rPr>
              <w:t>ICS Revenue ($M)</w:t>
            </w:r>
          </w:p>
        </w:tc>
        <w:tc>
          <w:tcPr>
            <w:tcW w:type="dxa" w:w="1234"/>
          </w:tcPr>
          <w:p>
            <w:r>
              <w:rPr>
                <w:rFonts w:ascii="Calibri" w:hAnsi="Calibri"/>
                <w:sz w:val="22"/>
              </w:rPr>
              <w:t>$1,465.1M</w:t>
            </w:r>
          </w:p>
        </w:tc>
        <w:tc>
          <w:tcPr>
            <w:tcW w:type="dxa" w:w="1234"/>
          </w:tcPr>
          <w:p>
            <w:r>
              <w:rPr>
                <w:rFonts w:ascii="Calibri" w:hAnsi="Calibri"/>
                <w:sz w:val="22"/>
              </w:rPr>
              <w:t>$1,600.7M</w:t>
            </w:r>
          </w:p>
        </w:tc>
        <w:tc>
          <w:tcPr>
            <w:tcW w:type="dxa" w:w="1234"/>
          </w:tcPr>
          <w:p>
            <w:r>
              <w:rPr>
                <w:rFonts w:ascii="Calibri" w:hAnsi="Calibri"/>
                <w:sz w:val="22"/>
              </w:rPr>
              <w:t>$1,679.0M</w:t>
            </w:r>
          </w:p>
        </w:tc>
        <w:tc>
          <w:tcPr>
            <w:tcW w:type="dxa" w:w="1234"/>
          </w:tcPr>
          <w:p>
            <w:r>
              <w:rPr>
                <w:rFonts w:ascii="Calibri" w:hAnsi="Calibri"/>
                <w:sz w:val="22"/>
              </w:rPr>
              <w:t>+4.9% YoY</w:t>
            </w:r>
          </w:p>
        </w:tc>
        <w:tc>
          <w:tcPr>
            <w:tcW w:type="dxa" w:w="1234"/>
          </w:tcPr>
          <w:p>
            <w:r>
              <w:rPr>
                <w:rFonts w:ascii="Calibri" w:hAnsi="Calibri"/>
                <w:sz w:val="22"/>
              </w:rPr>
              <w:t>High single-digit regulatory rev growth; low double-digit equity positions</w:t>
            </w:r>
          </w:p>
        </w:tc>
        <w:tc>
          <w:tcPr>
            <w:tcW w:type="dxa" w:w="1234"/>
          </w:tcPr>
          <w:p>
            <w:r>
              <w:rPr>
                <w:rFonts w:ascii="Calibri" w:hAnsi="Calibri"/>
                <w:sz w:val="22"/>
              </w:rPr>
              <w:t>Tracking to guidance</w:t>
            </w:r>
          </w:p>
        </w:tc>
      </w:tr>
      <w:tr>
        <w:tc>
          <w:tcPr>
            <w:tcW w:type="dxa" w:w="1234"/>
          </w:tcPr>
          <w:p>
            <w:r>
              <w:rPr>
                <w:rFonts w:ascii="Calibri" w:hAnsi="Calibri"/>
                <w:sz w:val="22"/>
              </w:rPr>
              <w:t>Closed Sales ($M)</w:t>
            </w:r>
          </w:p>
        </w:tc>
        <w:tc>
          <w:tcPr>
            <w:tcW w:type="dxa" w:w="1234"/>
          </w:tcPr>
          <w:p>
            <w:r>
              <w:rPr>
                <w:rFonts w:ascii="Calibri" w:hAnsi="Calibri"/>
                <w:sz w:val="22"/>
              </w:rPr>
              <w:t>$57.5M</w:t>
            </w:r>
          </w:p>
        </w:tc>
        <w:tc>
          <w:tcPr>
            <w:tcW w:type="dxa" w:w="1234"/>
          </w:tcPr>
          <w:p>
            <w:r>
              <w:rPr>
                <w:rFonts w:ascii="Calibri" w:hAnsi="Calibri"/>
                <w:sz w:val="22"/>
              </w:rPr>
              <w:t>$113.5M</w:t>
            </w:r>
          </w:p>
        </w:tc>
        <w:tc>
          <w:tcPr>
            <w:tcW w:type="dxa" w:w="1234"/>
          </w:tcPr>
          <w:p>
            <w:r>
              <w:rPr>
                <w:rFonts w:ascii="Calibri" w:hAnsi="Calibri"/>
                <w:sz w:val="22"/>
              </w:rPr>
              <w:t>$135.4M</w:t>
            </w:r>
          </w:p>
        </w:tc>
        <w:tc>
          <w:tcPr>
            <w:tcW w:type="dxa" w:w="1234"/>
          </w:tcPr>
          <w:p>
            <w:r>
              <w:rPr>
                <w:rFonts w:ascii="Calibri" w:hAnsi="Calibri"/>
                <w:sz w:val="22"/>
              </w:rPr>
              <w:t>+19.3% YoY</w:t>
            </w:r>
          </w:p>
        </w:tc>
        <w:tc>
          <w:tcPr>
            <w:tcW w:type="dxa" w:w="1234"/>
          </w:tcPr>
          <w:p>
            <w:r>
              <w:rPr>
                <w:rFonts w:ascii="Calibri" w:hAnsi="Calibri"/>
                <w:sz w:val="22"/>
              </w:rPr>
              <w:t>$240–290M FY2026 (implies ~$72–122M in Q4)</w:t>
            </w:r>
          </w:p>
        </w:tc>
        <w:tc>
          <w:tcPr>
            <w:tcW w:type="dxa" w:w="1234"/>
          </w:tcPr>
          <w:p>
            <w:r>
              <w:rPr>
                <w:rFonts w:ascii="Calibri" w:hAnsi="Calibri"/>
                <w:sz w:val="22"/>
              </w:rPr>
              <w:t>$135M consensus is above midpoint of implied Q4 range</w:t>
            </w:r>
          </w:p>
        </w:tc>
      </w:tr>
      <w:tr>
        <w:tc>
          <w:tcPr>
            <w:tcW w:type="dxa" w:w="1234"/>
          </w:tcPr>
          <w:p>
            <w:r>
              <w:rPr>
                <w:rFonts w:ascii="Calibri" w:hAnsi="Calibri"/>
                <w:sz w:val="22"/>
              </w:rPr>
              <w:t>Equity Record Growth (%)</w:t>
            </w:r>
          </w:p>
        </w:tc>
        <w:tc>
          <w:tcPr>
            <w:tcW w:type="dxa" w:w="1234"/>
          </w:tcPr>
          <w:p>
            <w:r>
              <w:rPr>
                <w:rFonts w:ascii="Calibri" w:hAnsi="Calibri"/>
                <w:sz w:val="22"/>
              </w:rPr>
              <w:t>15%</w:t>
            </w:r>
          </w:p>
        </w:tc>
        <w:tc>
          <w:tcPr>
            <w:tcW w:type="dxa" w:w="1234"/>
          </w:tcPr>
          <w:p>
            <w:r>
              <w:rPr>
                <w:rFonts w:ascii="Calibri" w:hAnsi="Calibri"/>
                <w:sz w:val="22"/>
              </w:rPr>
              <w:t>18%</w:t>
            </w:r>
          </w:p>
        </w:tc>
        <w:tc>
          <w:tcPr>
            <w:tcW w:type="dxa" w:w="1234"/>
          </w:tcPr>
          <w:p>
            <w:r>
              <w:rPr>
                <w:rFonts w:ascii="Calibri" w:hAnsi="Calibri"/>
                <w:sz w:val="22"/>
              </w:rPr>
              <w:t>~5% (consensus)</w:t>
            </w:r>
          </w:p>
        </w:tc>
        <w:tc>
          <w:tcPr>
            <w:tcW w:type="dxa" w:w="1234"/>
          </w:tcPr>
          <w:p>
            <w:r>
              <w:rPr>
                <w:rFonts w:ascii="Calibri" w:hAnsi="Calibri"/>
                <w:sz w:val="22"/>
              </w:rPr>
              <w:t>Deceleration YoY</w:t>
            </w:r>
          </w:p>
        </w:tc>
        <w:tc>
          <w:tcPr>
            <w:tcW w:type="dxa" w:w="1234"/>
          </w:tcPr>
          <w:p>
            <w:r>
              <w:rPr>
                <w:rFonts w:ascii="Calibri" w:hAnsi="Calibri"/>
                <w:sz w:val="22"/>
              </w:rPr>
              <w:t>Low double-digit equity revenue positions</w:t>
            </w:r>
          </w:p>
        </w:tc>
        <w:tc>
          <w:tcPr>
            <w:tcW w:type="dxa" w:w="1234"/>
          </w:tcPr>
          <w:p>
            <w:r>
              <w:rPr>
                <w:rFonts w:ascii="Calibri" w:hAnsi="Calibri"/>
                <w:sz w:val="22"/>
              </w:rPr>
              <w:t>Consensus below management guidance</w:t>
            </w:r>
          </w:p>
        </w:tc>
      </w:tr>
      <w:tr>
        <w:tc>
          <w:tcPr>
            <w:tcW w:type="dxa" w:w="1234"/>
          </w:tcPr>
          <w:p>
            <w:r>
              <w:rPr>
                <w:rFonts w:ascii="Calibri" w:hAnsi="Calibri"/>
                <w:sz w:val="22"/>
              </w:rPr>
              <w:t>Mutual Fund Record Growth (%)</w:t>
            </w:r>
          </w:p>
        </w:tc>
        <w:tc>
          <w:tcPr>
            <w:tcW w:type="dxa" w:w="1234"/>
          </w:tcPr>
          <w:p>
            <w:r>
              <w:rPr>
                <w:rFonts w:ascii="Calibri" w:hAnsi="Calibri"/>
                <w:sz w:val="22"/>
              </w:rPr>
              <w:t>6%</w:t>
            </w:r>
          </w:p>
        </w:tc>
        <w:tc>
          <w:tcPr>
            <w:tcW w:type="dxa" w:w="1234"/>
          </w:tcPr>
          <w:p>
            <w:r>
              <w:rPr>
                <w:rFonts w:ascii="Calibri" w:hAnsi="Calibri"/>
                <w:sz w:val="22"/>
              </w:rPr>
              <w:t>7%</w:t>
            </w:r>
          </w:p>
        </w:tc>
        <w:tc>
          <w:tcPr>
            <w:tcW w:type="dxa" w:w="1234"/>
          </w:tcPr>
          <w:p>
            <w:r>
              <w:rPr>
                <w:rFonts w:ascii="Calibri" w:hAnsi="Calibri"/>
                <w:sz w:val="22"/>
              </w:rPr>
              <w:t>~6% (consensus)</w:t>
            </w:r>
          </w:p>
        </w:tc>
        <w:tc>
          <w:tcPr>
            <w:tcW w:type="dxa" w:w="1234"/>
          </w:tcPr>
          <w:p>
            <w:r>
              <w:rPr>
                <w:rFonts w:ascii="Calibri" w:hAnsi="Calibri"/>
                <w:sz w:val="22"/>
              </w:rPr>
              <w:t>Roughly flat YoY</w:t>
            </w:r>
          </w:p>
        </w:tc>
        <w:tc>
          <w:tcPr>
            <w:tcW w:type="dxa" w:w="1234"/>
          </w:tcPr>
          <w:p>
            <w:r>
              <w:rPr>
                <w:rFonts w:ascii="Calibri" w:hAnsi="Calibri"/>
                <w:sz w:val="22"/>
              </w:rPr>
              <w:t>Mid-to-high single-digit fund position growth</w:t>
            </w:r>
          </w:p>
        </w:tc>
        <w:tc>
          <w:tcPr>
            <w:tcW w:type="dxa" w:w="1234"/>
          </w:tcPr>
          <w:p>
            <w:r>
              <w:rPr>
                <w:rFonts w:ascii="Calibri" w:hAnsi="Calibri"/>
                <w:sz w:val="22"/>
              </w:rPr>
              <w:t>Consensus at low end of guidance</w:t>
            </w:r>
          </w:p>
        </w:tc>
      </w:tr>
    </w:tbl>
    <w:p>
      <w:r>
        <w:rPr>
          <w:rFonts w:ascii="Calibri" w:hAnsi="Calibri"/>
          <w:i/>
          <w:color w:val="525866"/>
          <w:sz w:val="22"/>
        </w:rPr>
        <w:t>Sources: Visible Alpha Consensus and Actuals Data. All VA-sourced figures cited per dataset.</w:t>
      </w:r>
    </w:p>
    <w:p>
      <w:pPr>
        <w:pStyle w:val="Heading3"/>
      </w:pPr>
      <w:r>
        <w:rPr>
          <w:rFonts w:ascii="Calibri" w:hAnsi="Calibri"/>
          <w:b/>
          <w:color w:val="3B4259"/>
          <w:sz w:val="24"/>
        </w:rPr>
        <w:t>Table 2 — Beat/Miss History (Last 8 Quarters)</w:t>
      </w:r>
    </w:p>
    <w:p>
      <w:r>
        <w:rPr>
          <w:rFonts w:ascii="Calibri" w:hAnsi="Calibri"/>
          <w:color w:val="525866"/>
          <w:sz w:val="22"/>
        </w:rPr>
        <w:t>Top KPI #1: Recurring Fee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$1,326.4M</w:t>
            </w:r>
          </w:p>
        </w:tc>
        <w:tc>
          <w:tcPr>
            <w:tcW w:type="dxa" w:w="1728"/>
          </w:tcPr>
          <w:p>
            <w:r>
              <w:rPr>
                <w:rFonts w:ascii="Calibri" w:hAnsi="Calibri"/>
                <w:sz w:val="22"/>
              </w:rPr>
              <w:t>$1,331.8M</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Q1 FY2025</w:t>
            </w:r>
          </w:p>
        </w:tc>
        <w:tc>
          <w:tcPr>
            <w:tcW w:type="dxa" w:w="1728"/>
          </w:tcPr>
          <w:p>
            <w:r>
              <w:rPr>
                <w:rFonts w:ascii="Calibri" w:hAnsi="Calibri"/>
                <w:sz w:val="22"/>
              </w:rPr>
              <w:t>$900.3M</w:t>
            </w:r>
          </w:p>
        </w:tc>
        <w:tc>
          <w:tcPr>
            <w:tcW w:type="dxa" w:w="1728"/>
          </w:tcPr>
          <w:p>
            <w:r>
              <w:rPr>
                <w:rFonts w:ascii="Calibri" w:hAnsi="Calibri"/>
                <w:sz w:val="22"/>
              </w:rPr>
              <w:t>$904.8M</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FY2025</w:t>
            </w:r>
          </w:p>
        </w:tc>
        <w:tc>
          <w:tcPr>
            <w:tcW w:type="dxa" w:w="1728"/>
          </w:tcPr>
          <w:p>
            <w:r>
              <w:rPr>
                <w:rFonts w:ascii="Calibri" w:hAnsi="Calibri"/>
                <w:sz w:val="22"/>
              </w:rPr>
              <w:t>$980.2M</w:t>
            </w:r>
          </w:p>
        </w:tc>
        <w:tc>
          <w:tcPr>
            <w:tcW w:type="dxa" w:w="1728"/>
          </w:tcPr>
          <w:p>
            <w:r>
              <w:rPr>
                <w:rFonts w:ascii="Calibri" w:hAnsi="Calibri"/>
                <w:sz w:val="22"/>
              </w:rPr>
              <w:t>$955.7M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$1,203.9M</w:t>
            </w:r>
          </w:p>
        </w:tc>
        <w:tc>
          <w:tcPr>
            <w:tcW w:type="dxa" w:w="1728"/>
          </w:tcPr>
          <w:p>
            <w:r>
              <w:rPr>
                <w:rFonts w:ascii="Calibri" w:hAnsi="Calibri"/>
                <w:sz w:val="22"/>
              </w:rPr>
              <w:t>$1,229.7M</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Q4 FY2025</w:t>
            </w:r>
          </w:p>
        </w:tc>
        <w:tc>
          <w:tcPr>
            <w:tcW w:type="dxa" w:w="1728"/>
          </w:tcPr>
          <w:p>
            <w:r>
              <w:rPr>
                <w:rFonts w:ascii="Calibri" w:hAnsi="Calibri"/>
                <w:sz w:val="22"/>
              </w:rPr>
              <w:t>$1,423.6M</w:t>
            </w:r>
          </w:p>
        </w:tc>
        <w:tc>
          <w:tcPr>
            <w:tcW w:type="dxa" w:w="1728"/>
          </w:tcPr>
          <w:p>
            <w:r>
              <w:rPr>
                <w:rFonts w:ascii="Calibri" w:hAnsi="Calibri"/>
                <w:sz w:val="22"/>
              </w:rPr>
              <w:t>$1,430.8M</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Q1 FY2026</w:t>
            </w:r>
          </w:p>
        </w:tc>
        <w:tc>
          <w:tcPr>
            <w:tcW w:type="dxa" w:w="1728"/>
          </w:tcPr>
          <w:p>
            <w:r>
              <w:rPr>
                <w:rFonts w:ascii="Calibri" w:hAnsi="Calibri"/>
                <w:sz w:val="22"/>
              </w:rPr>
              <w:t>$977.5M</w:t>
            </w:r>
          </w:p>
        </w:tc>
        <w:tc>
          <w:tcPr>
            <w:tcW w:type="dxa" w:w="1728"/>
          </w:tcPr>
          <w:p>
            <w:r>
              <w:rPr>
                <w:rFonts w:ascii="Calibri" w:hAnsi="Calibri"/>
                <w:sz w:val="22"/>
              </w:rPr>
              <w:t>$967.4M</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$1,070.1M</w:t>
            </w:r>
          </w:p>
        </w:tc>
        <w:tc>
          <w:tcPr>
            <w:tcW w:type="dxa" w:w="1728"/>
          </w:tcPr>
          <w:p>
            <w:r>
              <w:rPr>
                <w:rFonts w:ascii="Calibri" w:hAnsi="Calibri"/>
                <w:sz w:val="22"/>
              </w:rPr>
              <w:t>$1,042.1M</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FY2026</w:t>
            </w:r>
          </w:p>
        </w:tc>
        <w:tc>
          <w:tcPr>
            <w:tcW w:type="dxa" w:w="1728"/>
          </w:tcPr>
          <w:p>
            <w:r>
              <w:rPr>
                <w:rFonts w:ascii="Calibri" w:hAnsi="Calibri"/>
                <w:sz w:val="22"/>
              </w:rPr>
              <w:t>$1,288.1M</w:t>
            </w:r>
          </w:p>
        </w:tc>
        <w:tc>
          <w:tcPr>
            <w:tcW w:type="dxa" w:w="1728"/>
          </w:tcPr>
          <w:p>
            <w:r>
              <w:rPr>
                <w:rFonts w:ascii="Calibri" w:hAnsi="Calibri"/>
                <w:sz w:val="22"/>
              </w:rPr>
              <w:t>$1,261.5M</w:t>
            </w:r>
          </w:p>
        </w:tc>
        <w:tc>
          <w:tcPr>
            <w:tcW w:type="dxa" w:w="1728"/>
          </w:tcPr>
          <w:p>
            <w:r>
              <w:rPr>
                <w:rFonts w:ascii="Calibri" w:hAnsi="Calibri"/>
                <w:sz w:val="22"/>
              </w:rPr>
              <w:t>+2.1%</w:t>
            </w:r>
          </w:p>
        </w:tc>
        <w:tc>
          <w:tcPr>
            <w:tcW w:type="dxa" w:w="1728"/>
          </w:tcPr>
          <w:p>
            <w:r>
              <w:rPr>
                <w:rFonts w:ascii="Calibri" w:hAnsi="Calibri"/>
                <w:b/>
                <w:color w:val="30A46C"/>
                <w:sz w:val="22"/>
              </w:rPr>
              <w:t>Beat</w:t>
            </w:r>
          </w:p>
        </w:tc>
      </w:tr>
    </w:tbl>
    <w:p>
      <w:r>
        <w:rPr>
          <w:rFonts w:ascii="Calibri" w:hAnsi="Calibri"/>
          <w:color w:val="525866"/>
          <w:sz w:val="22"/>
        </w:rPr>
        <w:t>Top KPI #2: Adjusted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$3.50</w:t>
            </w:r>
          </w:p>
        </w:tc>
        <w:tc>
          <w:tcPr>
            <w:tcW w:type="dxa" w:w="1728"/>
          </w:tcPr>
          <w:p>
            <w:r>
              <w:rPr>
                <w:rFonts w:ascii="Calibri" w:hAnsi="Calibri"/>
                <w:sz w:val="22"/>
              </w:rPr>
              <w:t>$3.50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FY2025</w:t>
            </w:r>
          </w:p>
        </w:tc>
        <w:tc>
          <w:tcPr>
            <w:tcW w:type="dxa" w:w="1728"/>
          </w:tcPr>
          <w:p>
            <w:r>
              <w:rPr>
                <w:rFonts w:ascii="Calibri" w:hAnsi="Calibri"/>
                <w:sz w:val="22"/>
              </w:rPr>
              <w:t>$1.00</w:t>
            </w:r>
          </w:p>
        </w:tc>
        <w:tc>
          <w:tcPr>
            <w:tcW w:type="dxa" w:w="1728"/>
          </w:tcPr>
          <w:p>
            <w:r>
              <w:rPr>
                <w:rFonts w:ascii="Calibri" w:hAnsi="Calibri"/>
                <w:sz w:val="22"/>
              </w:rPr>
              <w:t>$0.99</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$1.56</w:t>
            </w:r>
          </w:p>
        </w:tc>
        <w:tc>
          <w:tcPr>
            <w:tcW w:type="dxa" w:w="1728"/>
          </w:tcPr>
          <w:p>
            <w:r>
              <w:rPr>
                <w:rFonts w:ascii="Calibri" w:hAnsi="Calibri"/>
                <w:sz w:val="22"/>
              </w:rPr>
              <w:t>$1.49</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$2.44</w:t>
            </w:r>
          </w:p>
        </w:tc>
        <w:tc>
          <w:tcPr>
            <w:tcW w:type="dxa" w:w="1728"/>
          </w:tcPr>
          <w:p>
            <w:r>
              <w:rPr>
                <w:rFonts w:ascii="Calibri" w:hAnsi="Calibri"/>
                <w:sz w:val="22"/>
              </w:rPr>
              <w:t>$2.42</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$3.55</w:t>
            </w:r>
          </w:p>
        </w:tc>
        <w:tc>
          <w:tcPr>
            <w:tcW w:type="dxa" w:w="1728"/>
          </w:tcPr>
          <w:p>
            <w:r>
              <w:rPr>
                <w:rFonts w:ascii="Calibri" w:hAnsi="Calibri"/>
                <w:sz w:val="22"/>
              </w:rPr>
              <w:t>$3.50</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$1.51</w:t>
            </w:r>
          </w:p>
        </w:tc>
        <w:tc>
          <w:tcPr>
            <w:tcW w:type="dxa" w:w="1728"/>
          </w:tcPr>
          <w:p>
            <w:r>
              <w:rPr>
                <w:rFonts w:ascii="Calibri" w:hAnsi="Calibri"/>
                <w:sz w:val="22"/>
              </w:rPr>
              <w:t>$1.25</w:t>
            </w:r>
          </w:p>
        </w:tc>
        <w:tc>
          <w:tcPr>
            <w:tcW w:type="dxa" w:w="1728"/>
          </w:tcPr>
          <w:p>
            <w:r>
              <w:rPr>
                <w:rFonts w:ascii="Calibri" w:hAnsi="Calibri"/>
                <w:sz w:val="22"/>
              </w:rPr>
              <w:t>+20.8%</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$1.59</w:t>
            </w:r>
          </w:p>
        </w:tc>
        <w:tc>
          <w:tcPr>
            <w:tcW w:type="dxa" w:w="1728"/>
          </w:tcPr>
          <w:p>
            <w:r>
              <w:rPr>
                <w:rFonts w:ascii="Calibri" w:hAnsi="Calibri"/>
                <w:sz w:val="22"/>
              </w:rPr>
              <w:t>$1.37</w:t>
            </w:r>
          </w:p>
        </w:tc>
        <w:tc>
          <w:tcPr>
            <w:tcW w:type="dxa" w:w="1728"/>
          </w:tcPr>
          <w:p>
            <w:r>
              <w:rPr>
                <w:rFonts w:ascii="Calibri" w:hAnsi="Calibri"/>
                <w:sz w:val="22"/>
              </w:rPr>
              <w:t>+16.1%</w:t>
            </w:r>
          </w:p>
        </w:tc>
        <w:tc>
          <w:tcPr>
            <w:tcW w:type="dxa" w:w="1728"/>
          </w:tcPr>
          <w:p>
            <w:r>
              <w:rPr>
                <w:rFonts w:ascii="Calibri" w:hAnsi="Calibri"/>
                <w:b/>
                <w:color w:val="30A46C"/>
                <w:sz w:val="22"/>
              </w:rPr>
              <w:t>Beat</w:t>
            </w:r>
          </w:p>
        </w:tc>
      </w:tr>
      <w:tr>
        <w:tc>
          <w:tcPr>
            <w:tcW w:type="dxa" w:w="1728"/>
          </w:tcPr>
          <w:p>
            <w:r>
              <w:rPr>
                <w:rFonts w:ascii="Calibri" w:hAnsi="Calibri"/>
                <w:sz w:val="22"/>
              </w:rPr>
              <w:t>Q3 FY2026</w:t>
            </w:r>
          </w:p>
        </w:tc>
        <w:tc>
          <w:tcPr>
            <w:tcW w:type="dxa" w:w="1728"/>
          </w:tcPr>
          <w:p>
            <w:r>
              <w:rPr>
                <w:rFonts w:ascii="Calibri" w:hAnsi="Calibri"/>
                <w:sz w:val="22"/>
              </w:rPr>
              <w:t>$2.72</w:t>
            </w:r>
          </w:p>
        </w:tc>
        <w:tc>
          <w:tcPr>
            <w:tcW w:type="dxa" w:w="1728"/>
          </w:tcPr>
          <w:p>
            <w:r>
              <w:rPr>
                <w:rFonts w:ascii="Calibri" w:hAnsi="Calibri"/>
                <w:sz w:val="22"/>
              </w:rPr>
              <w:t>$2.59</w:t>
            </w:r>
          </w:p>
        </w:tc>
        <w:tc>
          <w:tcPr>
            <w:tcW w:type="dxa" w:w="1728"/>
          </w:tcPr>
          <w:p>
            <w:r>
              <w:rPr>
                <w:rFonts w:ascii="Calibri" w:hAnsi="Calibri"/>
                <w:sz w:val="22"/>
              </w:rPr>
              <w:t>+5.0%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BR has beaten adjusted EPS consensus in 7 of the last 8 quarters, with particularly large beats in Q1 and Q2 FY2026 (+20.8% and +16.1% respectively). Recurring fee revenue has been more mixed — 3 beats and 5 misses/in-lines over the same period — suggesting the EPS beat cadence is partly driven by cost discipline and below-the-line items rather than pure top-line outperformance.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raised twice since the start of FY2026</w:t>
      </w:r>
      <w:r>
        <w:rPr>
          <w:rFonts w:ascii="Calibri" w:hAnsi="Calibri"/>
          <w:color w:val="525866"/>
          <w:sz w:val="22"/>
        </w:rPr>
        <w:t xml:space="preserve"> on both recurring revenue and EPS, and management has reiterated the full-year outlook at every conference since Q3 earnings — no negative pre-announcements. The one negative shift — the </w:t>
      </w:r>
      <w:r>
        <w:rPr>
          <w:rFonts w:ascii="Calibri" w:hAnsi="Calibri"/>
          <w:b/>
          <w:color w:val="525866"/>
          <w:sz w:val="22"/>
        </w:rPr>
        <w:t>closed sales guidance cut to $240–290M</w:t>
      </w:r>
      <w:r>
        <w:rPr>
          <w:rFonts w:ascii="Calibri" w:hAnsi="Calibri"/>
          <w:color w:val="525866"/>
          <w:sz w:val="22"/>
        </w:rPr>
        <w:t xml:space="preserve"> from $290–330M — was disclosed at Q3 and is fully in the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Recurring Revenue Growth (CC)</w:t>
            </w:r>
          </w:p>
        </w:tc>
        <w:tc>
          <w:tcPr>
            <w:tcW w:type="dxa" w:w="1728"/>
          </w:tcPr>
          <w:p>
            <w:r>
              <w:rPr>
                <w:rFonts w:ascii="Calibri" w:hAnsi="Calibri"/>
                <w:sz w:val="22"/>
              </w:rPr>
              <w:t>At or above 7%</w:t>
            </w:r>
          </w:p>
        </w:tc>
        <w:tc>
          <w:tcPr>
            <w:tcW w:type="dxa" w:w="1728"/>
          </w:tcPr>
          <w:p>
            <w:r>
              <w:rPr>
                <w:rFonts w:ascii="Calibri" w:hAnsi="Calibri"/>
                <w:sz w:val="22"/>
              </w:rPr>
              <w:t>—</w:t>
            </w:r>
          </w:p>
        </w:tc>
        <w:tc>
          <w:tcPr>
            <w:tcW w:type="dxa" w:w="1728"/>
          </w:tcPr>
          <w:p>
            <w:r>
              <w:rPr>
                <w:rFonts w:ascii="Calibri" w:hAnsi="Calibri"/>
                <w:sz w:val="22"/>
              </w:rPr>
              <w:t>~7%+ (FY2026 implied)</w:t>
            </w:r>
          </w:p>
        </w:tc>
        <w:tc>
          <w:tcPr>
            <w:tcW w:type="dxa" w:w="1728"/>
          </w:tcPr>
          <w:p>
            <w:r>
              <w:rPr>
                <w:rFonts w:ascii="Calibri" w:hAnsi="Calibri"/>
                <w:sz w:val="22"/>
              </w:rPr>
              <w:t>Reiterated at Needham (May 12), Bernstein (May 27), RBC (Jun 9). No change.</w:t>
            </w:r>
          </w:p>
        </w:tc>
      </w:tr>
      <w:tr>
        <w:tc>
          <w:tcPr>
            <w:tcW w:type="dxa" w:w="1728"/>
          </w:tcPr>
          <w:p>
            <w:r>
              <w:rPr>
                <w:rFonts w:ascii="Calibri" w:hAnsi="Calibri"/>
                <w:sz w:val="22"/>
              </w:rPr>
              <w:t>Adjusted EPS Growth (FY2026)</w:t>
            </w:r>
          </w:p>
        </w:tc>
        <w:tc>
          <w:tcPr>
            <w:tcW w:type="dxa" w:w="1728"/>
          </w:tcPr>
          <w:p>
            <w:r>
              <w:rPr>
                <w:rFonts w:ascii="Calibri" w:hAnsi="Calibri"/>
                <w:sz w:val="22"/>
              </w:rPr>
              <w:t>10–12%</w:t>
            </w:r>
          </w:p>
        </w:tc>
        <w:tc>
          <w:tcPr>
            <w:tcW w:type="dxa" w:w="1728"/>
          </w:tcPr>
          <w:p>
            <w:r>
              <w:rPr>
                <w:rFonts w:ascii="Calibri" w:hAnsi="Calibri"/>
                <w:sz w:val="22"/>
              </w:rPr>
              <w:t>—</w:t>
            </w:r>
          </w:p>
        </w:tc>
        <w:tc>
          <w:tcPr>
            <w:tcW w:type="dxa" w:w="1728"/>
          </w:tcPr>
          <w:p>
            <w:r>
              <w:rPr>
                <w:rFonts w:ascii="Calibri" w:hAnsi="Calibri"/>
                <w:sz w:val="22"/>
              </w:rPr>
              <w:t>~10–12% (FY2026 consensus $9.56)</w:t>
            </w:r>
          </w:p>
        </w:tc>
        <w:tc>
          <w:tcPr>
            <w:tcW w:type="dxa" w:w="1728"/>
          </w:tcPr>
          <w:p>
            <w:r>
              <w:rPr>
                <w:rFonts w:ascii="Calibri" w:hAnsi="Calibri"/>
                <w:sz w:val="22"/>
              </w:rPr>
              <w:t>Reiterated at all three post-Q3 conferences. Implies low-to-mid single-digit Q4 EPS growth.</w:t>
            </w:r>
          </w:p>
        </w:tc>
      </w:tr>
      <w:tr>
        <w:tc>
          <w:tcPr>
            <w:tcW w:type="dxa" w:w="1728"/>
          </w:tcPr>
          <w:p>
            <w:r>
              <w:rPr>
                <w:rFonts w:ascii="Calibri" w:hAnsi="Calibri"/>
                <w:sz w:val="22"/>
              </w:rPr>
              <w:t>Q4 Adjusted EPS Growth (implied)</w:t>
            </w:r>
          </w:p>
        </w:tc>
        <w:tc>
          <w:tcPr>
            <w:tcW w:type="dxa" w:w="1728"/>
          </w:tcPr>
          <w:p>
            <w:r>
              <w:rPr>
                <w:rFonts w:ascii="Calibri" w:hAnsi="Calibri"/>
                <w:sz w:val="22"/>
              </w:rPr>
              <w:t>Low-to-mid single-digit</w:t>
            </w:r>
          </w:p>
        </w:tc>
        <w:tc>
          <w:tcPr>
            <w:tcW w:type="dxa" w:w="1728"/>
          </w:tcPr>
          <w:p>
            <w:r>
              <w:rPr>
                <w:rFonts w:ascii="Calibri" w:hAnsi="Calibri"/>
                <w:sz w:val="22"/>
              </w:rPr>
              <w:t>—</w:t>
            </w:r>
          </w:p>
        </w:tc>
        <w:tc>
          <w:tcPr>
            <w:tcW w:type="dxa" w:w="1728"/>
          </w:tcPr>
          <w:p>
            <w:r>
              <w:rPr>
                <w:rFonts w:ascii="Calibri" w:hAnsi="Calibri"/>
                <w:sz w:val="22"/>
              </w:rPr>
              <w:t>$3.77 (+6.2% YoY)</w:t>
            </w:r>
          </w:p>
        </w:tc>
        <w:tc>
          <w:tcPr>
            <w:tcW w:type="dxa" w:w="1728"/>
          </w:tcPr>
          <w:p>
            <w:r>
              <w:rPr>
                <w:rFonts w:ascii="Calibri" w:hAnsi="Calibri"/>
                <w:sz w:val="22"/>
              </w:rPr>
              <w:t>Reflects elevated Q4 investment spending. Consensus at high end of implied range.</w:t>
            </w:r>
          </w:p>
        </w:tc>
      </w:tr>
      <w:tr>
        <w:tc>
          <w:tcPr>
            <w:tcW w:type="dxa" w:w="1728"/>
          </w:tcPr>
          <w:p>
            <w:r>
              <w:rPr>
                <w:rFonts w:ascii="Calibri" w:hAnsi="Calibri"/>
                <w:sz w:val="22"/>
              </w:rPr>
              <w:t>AOI Margin (FY2026)</w:t>
            </w:r>
          </w:p>
        </w:tc>
        <w:tc>
          <w:tcPr>
            <w:tcW w:type="dxa" w:w="1728"/>
          </w:tcPr>
          <w:p>
            <w:r>
              <w:rPr>
                <w:rFonts w:ascii="Calibri" w:hAnsi="Calibri"/>
                <w:sz w:val="22"/>
              </w:rPr>
              <w:t>~20–21%</w:t>
            </w:r>
          </w:p>
        </w:tc>
        <w:tc>
          <w:tcPr>
            <w:tcW w:type="dxa" w:w="1728"/>
          </w:tcPr>
          <w:p>
            <w:r>
              <w:rPr>
                <w:rFonts w:ascii="Calibri" w:hAnsi="Calibri"/>
                <w:sz w:val="22"/>
              </w:rPr>
              <w:t>—</w:t>
            </w:r>
          </w:p>
        </w:tc>
        <w:tc>
          <w:tcPr>
            <w:tcW w:type="dxa" w:w="1728"/>
          </w:tcPr>
          <w:p>
            <w:r>
              <w:rPr>
                <w:rFonts w:ascii="Calibri" w:hAnsi="Calibri"/>
                <w:sz w:val="22"/>
              </w:rPr>
              <w:t>~20–21%</w:t>
            </w:r>
          </w:p>
        </w:tc>
        <w:tc>
          <w:tcPr>
            <w:tcW w:type="dxa" w:w="1728"/>
          </w:tcPr>
          <w:p>
            <w:r>
              <w:rPr>
                <w:rFonts w:ascii="Calibri" w:hAnsi="Calibri"/>
                <w:sz w:val="22"/>
              </w:rPr>
              <w:t>Unchanged. Similar Q4 margin dynamic to Q3 expected.</w:t>
            </w:r>
          </w:p>
        </w:tc>
      </w:tr>
      <w:tr>
        <w:tc>
          <w:tcPr>
            <w:tcW w:type="dxa" w:w="1728"/>
          </w:tcPr>
          <w:p>
            <w:r>
              <w:rPr>
                <w:rFonts w:ascii="Calibri" w:hAnsi="Calibri"/>
                <w:sz w:val="22"/>
              </w:rPr>
              <w:t>Closed Sales (FY2026)</w:t>
            </w:r>
          </w:p>
        </w:tc>
        <w:tc>
          <w:tcPr>
            <w:tcW w:type="dxa" w:w="1728"/>
          </w:tcPr>
          <w:p>
            <w:r>
              <w:rPr>
                <w:rFonts w:ascii="Calibri" w:hAnsi="Calibri"/>
                <w:sz w:val="22"/>
              </w:rPr>
              <w:t>$240–290M (cut from $290–330M at Q3)</w:t>
            </w:r>
          </w:p>
        </w:tc>
        <w:tc>
          <w:tcPr>
            <w:tcW w:type="dxa" w:w="1728"/>
          </w:tcPr>
          <w:p>
            <w:r>
              <w:rPr>
                <w:rFonts w:ascii="Calibri" w:hAnsi="Calibri"/>
                <w:sz w:val="22"/>
              </w:rPr>
              <w:t>—</w:t>
            </w:r>
          </w:p>
        </w:tc>
        <w:tc>
          <w:tcPr>
            <w:tcW w:type="dxa" w:w="1728"/>
          </w:tcPr>
          <w:p>
            <w:r>
              <w:rPr>
                <w:rFonts w:ascii="Calibri" w:hAnsi="Calibri"/>
                <w:sz w:val="22"/>
              </w:rPr>
              <w:t>$282M FY2026 consensus</w:t>
            </w:r>
          </w:p>
        </w:tc>
        <w:tc>
          <w:tcPr>
            <w:tcW w:type="dxa" w:w="1728"/>
          </w:tcPr>
          <w:p>
            <w:r>
              <w:rPr>
                <w:rFonts w:ascii="Calibri" w:hAnsi="Calibri"/>
                <w:sz w:val="22"/>
              </w:rPr>
              <w:t>↓ Cut at Q3 earnings (Apr 30). Elongated deal cycles on larger GTO/ICS deals. Pipeline at record &gt;$1B. Impact to recurring rev: 10–30 bps over 12–18 months.</w:t>
            </w:r>
          </w:p>
        </w:tc>
      </w:tr>
      <w:tr>
        <w:tc>
          <w:tcPr>
            <w:tcW w:type="dxa" w:w="1728"/>
          </w:tcPr>
          <w:p>
            <w:r>
              <w:rPr>
                <w:rFonts w:ascii="Calibri" w:hAnsi="Calibri"/>
                <w:sz w:val="22"/>
              </w:rPr>
              <w:t>Q4 Equity Revenue Position Growth</w:t>
            </w:r>
          </w:p>
        </w:tc>
        <w:tc>
          <w:tcPr>
            <w:tcW w:type="dxa" w:w="1728"/>
          </w:tcPr>
          <w:p>
            <w:r>
              <w:rPr>
                <w:rFonts w:ascii="Calibri" w:hAnsi="Calibri"/>
                <w:sz w:val="22"/>
              </w:rPr>
              <w:t>Low double-digit</w:t>
            </w:r>
          </w:p>
        </w:tc>
        <w:tc>
          <w:tcPr>
            <w:tcW w:type="dxa" w:w="1728"/>
          </w:tcPr>
          <w:p>
            <w:r>
              <w:rPr>
                <w:rFonts w:ascii="Calibri" w:hAnsi="Calibri"/>
                <w:sz w:val="22"/>
              </w:rPr>
              <w:t>—</w:t>
            </w:r>
          </w:p>
        </w:tc>
        <w:tc>
          <w:tcPr>
            <w:tcW w:type="dxa" w:w="1728"/>
          </w:tcPr>
          <w:p>
            <w:r>
              <w:rPr>
                <w:rFonts w:ascii="Calibri" w:hAnsi="Calibri"/>
                <w:sz w:val="22"/>
              </w:rPr>
              <w:t>~5% (consensus)</w:t>
            </w:r>
          </w:p>
        </w:tc>
        <w:tc>
          <w:tcPr>
            <w:tcW w:type="dxa" w:w="1728"/>
          </w:tcPr>
          <w:p>
            <w:r>
              <w:rPr>
                <w:rFonts w:ascii="Calibri" w:hAnsi="Calibri"/>
                <w:sz w:val="22"/>
              </w:rPr>
              <w:t>Management has 93% of proxies received — high confidence. Consensus appears conservative vs. guidance.</w:t>
            </w:r>
          </w:p>
        </w:tc>
      </w:tr>
      <w:tr>
        <w:tc>
          <w:tcPr>
            <w:tcW w:type="dxa" w:w="1728"/>
          </w:tcPr>
          <w:p>
            <w:r>
              <w:rPr>
                <w:rFonts w:ascii="Calibri" w:hAnsi="Calibri"/>
                <w:sz w:val="22"/>
              </w:rPr>
              <w:t>Q4 Fund Position Growth</w:t>
            </w:r>
          </w:p>
        </w:tc>
        <w:tc>
          <w:tcPr>
            <w:tcW w:type="dxa" w:w="1728"/>
          </w:tcPr>
          <w:p>
            <w:r>
              <w:rPr>
                <w:rFonts w:ascii="Calibri" w:hAnsi="Calibri"/>
                <w:sz w:val="22"/>
              </w:rPr>
              <w:t>Mid-to-high single-digit</w:t>
            </w:r>
          </w:p>
        </w:tc>
        <w:tc>
          <w:tcPr>
            <w:tcW w:type="dxa" w:w="1728"/>
          </w:tcPr>
          <w:p>
            <w:r>
              <w:rPr>
                <w:rFonts w:ascii="Calibri" w:hAnsi="Calibri"/>
                <w:sz w:val="22"/>
              </w:rPr>
              <w:t>—</w:t>
            </w:r>
          </w:p>
        </w:tc>
        <w:tc>
          <w:tcPr>
            <w:tcW w:type="dxa" w:w="1728"/>
          </w:tcPr>
          <w:p>
            <w:r>
              <w:rPr>
                <w:rFonts w:ascii="Calibri" w:hAnsi="Calibri"/>
                <w:sz w:val="22"/>
              </w:rPr>
              <w:t>~6% (consensus)</w:t>
            </w:r>
          </w:p>
        </w:tc>
        <w:tc>
          <w:tcPr>
            <w:tcW w:type="dxa" w:w="1728"/>
          </w:tcPr>
          <w:p>
            <w:r>
              <w:rPr>
                <w:rFonts w:ascii="Calibri" w:hAnsi="Calibri"/>
                <w:sz w:val="22"/>
              </w:rPr>
              <w:t>Consensus at low end of guidance range.</w:t>
            </w:r>
          </w:p>
        </w:tc>
      </w:tr>
      <w:tr>
        <w:tc>
          <w:tcPr>
            <w:tcW w:type="dxa" w:w="1728"/>
          </w:tcPr>
          <w:p>
            <w:r>
              <w:rPr>
                <w:rFonts w:ascii="Calibri" w:hAnsi="Calibri"/>
                <w:sz w:val="22"/>
              </w:rPr>
              <w:t>Free Cash Flow (FY2026)</w:t>
            </w:r>
          </w:p>
        </w:tc>
        <w:tc>
          <w:tcPr>
            <w:tcW w:type="dxa" w:w="1728"/>
          </w:tcPr>
          <w:p>
            <w:r>
              <w:rPr>
                <w:rFonts w:ascii="Calibri" w:hAnsi="Calibri"/>
                <w:sz w:val="22"/>
              </w:rPr>
              <w:t>&gt;$1.1B (&gt;100% conversion)</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Management flagged ample capacity for M&amp;A and buybacks in Q4.</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Q3 print — the street has fully absorbed the closed sales cut and is not pricing in further deterioration. FY2026 EPS consensus of $9.56 is essentially unchanged from the post-Q3 baseline of $9.55, and FY2027 estimates are also stable, suggesting the market views the closed sales miss as a timing issue, not a structural demand problem.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Recurring Fee Revenue — Q4 FY2026</w:t>
            </w:r>
          </w:p>
        </w:tc>
        <w:tc>
          <w:tcPr>
            <w:tcW w:type="dxa" w:w="1080"/>
          </w:tcPr>
          <w:p>
            <w:r>
              <w:rPr>
                <w:rFonts w:ascii="Calibri" w:hAnsi="Calibri"/>
                <w:sz w:val="22"/>
              </w:rPr>
              <w:t>$1,507.0M</w:t>
            </w:r>
          </w:p>
        </w:tc>
        <w:tc>
          <w:tcPr>
            <w:tcW w:type="dxa" w:w="1080"/>
          </w:tcPr>
          <w:p>
            <w:r>
              <w:rPr>
                <w:rFonts w:ascii="Calibri" w:hAnsi="Calibri"/>
                <w:sz w:val="22"/>
              </w:rPr>
              <w:t>$1,506.7M</w:t>
            </w:r>
          </w:p>
        </w:tc>
        <w:tc>
          <w:tcPr>
            <w:tcW w:type="dxa" w:w="1080"/>
          </w:tcPr>
          <w:p>
            <w:r>
              <w:rPr>
                <w:rFonts w:ascii="Calibri" w:hAnsi="Calibri"/>
                <w:sz w:val="22"/>
              </w:rPr>
              <w:t>~0.0%</w:t>
            </w:r>
          </w:p>
        </w:tc>
        <w:tc>
          <w:tcPr>
            <w:tcW w:type="dxa" w:w="1080"/>
          </w:tcPr>
          <w:p>
            <w:r>
              <w:rPr>
                <w:rFonts w:ascii="Calibri" w:hAnsi="Calibri"/>
                <w:sz w:val="22"/>
              </w:rPr>
              <w:t>At or above 7% CC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r>
        <w:tc>
          <w:tcPr>
            <w:tcW w:type="dxa" w:w="1080"/>
          </w:tcPr>
          <w:p>
            <w:r>
              <w:rPr>
                <w:rFonts w:ascii="Calibri" w:hAnsi="Calibri"/>
                <w:sz w:val="22"/>
              </w:rPr>
              <w:t>Recurring Fee Revenue — FY2026</w:t>
            </w:r>
          </w:p>
        </w:tc>
        <w:tc>
          <w:tcPr>
            <w:tcW w:type="dxa" w:w="1080"/>
          </w:tcPr>
          <w:p>
            <w:r>
              <w:rPr>
                <w:rFonts w:ascii="Calibri" w:hAnsi="Calibri"/>
                <w:sz w:val="22"/>
              </w:rPr>
              <w:t>$4,842.6M</w:t>
            </w:r>
          </w:p>
        </w:tc>
        <w:tc>
          <w:tcPr>
            <w:tcW w:type="dxa" w:w="1080"/>
          </w:tcPr>
          <w:p>
            <w:r>
              <w:rPr>
                <w:rFonts w:ascii="Calibri" w:hAnsi="Calibri"/>
                <w:sz w:val="22"/>
              </w:rPr>
              <w:t>$4,842.3M</w:t>
            </w:r>
          </w:p>
        </w:tc>
        <w:tc>
          <w:tcPr>
            <w:tcW w:type="dxa" w:w="1080"/>
          </w:tcPr>
          <w:p>
            <w:r>
              <w:rPr>
                <w:rFonts w:ascii="Calibri" w:hAnsi="Calibri"/>
                <w:sz w:val="22"/>
              </w:rPr>
              <w:t>~0.0%</w:t>
            </w:r>
          </w:p>
        </w:tc>
        <w:tc>
          <w:tcPr>
            <w:tcW w:type="dxa" w:w="1080"/>
          </w:tcPr>
          <w:p>
            <w:r>
              <w:rPr>
                <w:rFonts w:ascii="Calibri" w:hAnsi="Calibri"/>
                <w:sz w:val="22"/>
              </w:rPr>
              <w:t>At or above 7%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r>
        <w:tc>
          <w:tcPr>
            <w:tcW w:type="dxa" w:w="1080"/>
          </w:tcPr>
          <w:p>
            <w:r>
              <w:rPr>
                <w:rFonts w:ascii="Calibri" w:hAnsi="Calibri"/>
                <w:sz w:val="22"/>
              </w:rPr>
              <w:t>Recurring Fee Revenue — FY2027</w:t>
            </w:r>
          </w:p>
        </w:tc>
        <w:tc>
          <w:tcPr>
            <w:tcW w:type="dxa" w:w="1080"/>
          </w:tcPr>
          <w:p>
            <w:r>
              <w:rPr>
                <w:rFonts w:ascii="Calibri" w:hAnsi="Calibri"/>
                <w:sz w:val="22"/>
              </w:rPr>
              <w:t>$5,156.3M</w:t>
            </w:r>
          </w:p>
        </w:tc>
        <w:tc>
          <w:tcPr>
            <w:tcW w:type="dxa" w:w="1080"/>
          </w:tcPr>
          <w:p>
            <w:r>
              <w:rPr>
                <w:rFonts w:ascii="Calibri" w:hAnsi="Calibri"/>
                <w:sz w:val="22"/>
              </w:rPr>
              <w:t>$5,149.9M</w:t>
            </w:r>
          </w:p>
        </w:tc>
        <w:tc>
          <w:tcPr>
            <w:tcW w:type="dxa" w:w="1080"/>
          </w:tcPr>
          <w:p>
            <w:r>
              <w:rPr>
                <w:rFonts w:ascii="Calibri" w:hAnsi="Calibri"/>
                <w:sz w:val="22"/>
              </w:rPr>
              <w:t>-0.1%</w:t>
            </w:r>
          </w:p>
        </w:tc>
        <w:tc>
          <w:tcPr>
            <w:tcW w:type="dxa" w:w="1080"/>
          </w:tcPr>
          <w:p>
            <w:r>
              <w:rPr>
                <w:rFonts w:ascii="Calibri" w:hAnsi="Calibri"/>
                <w:sz w:val="22"/>
              </w:rPr>
              <w:t>N/A (next cycle)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EPS — Q4 FY2026</w:t>
            </w:r>
          </w:p>
        </w:tc>
        <w:tc>
          <w:tcPr>
            <w:tcW w:type="dxa" w:w="1080"/>
          </w:tcPr>
          <w:p>
            <w:r>
              <w:rPr>
                <w:rFonts w:ascii="Calibri" w:hAnsi="Calibri"/>
                <w:sz w:val="22"/>
              </w:rPr>
              <w:t>$3.75</w:t>
            </w:r>
          </w:p>
        </w:tc>
        <w:tc>
          <w:tcPr>
            <w:tcW w:type="dxa" w:w="1080"/>
          </w:tcPr>
          <w:p>
            <w:r>
              <w:rPr>
                <w:rFonts w:ascii="Calibri" w:hAnsi="Calibri"/>
                <w:sz w:val="22"/>
              </w:rPr>
              <w:t>$3.77</w:t>
            </w:r>
          </w:p>
        </w:tc>
        <w:tc>
          <w:tcPr>
            <w:tcW w:type="dxa" w:w="1080"/>
          </w:tcPr>
          <w:p>
            <w:r>
              <w:rPr>
                <w:rFonts w:ascii="Calibri" w:hAnsi="Calibri"/>
                <w:sz w:val="22"/>
              </w:rPr>
              <w:t>+0.5%</w:t>
            </w:r>
          </w:p>
        </w:tc>
        <w:tc>
          <w:tcPr>
            <w:tcW w:type="dxa" w:w="1080"/>
          </w:tcPr>
          <w:p>
            <w:r>
              <w:rPr>
                <w:rFonts w:ascii="Calibri" w:hAnsi="Calibri"/>
                <w:sz w:val="22"/>
              </w:rPr>
              <w:t>Low-to-mid single-digit growth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implied range</w:t>
            </w:r>
          </w:p>
        </w:tc>
      </w:tr>
      <w:tr>
        <w:tc>
          <w:tcPr>
            <w:tcW w:type="dxa" w:w="1080"/>
          </w:tcPr>
          <w:p>
            <w:r>
              <w:rPr>
                <w:rFonts w:ascii="Calibri" w:hAnsi="Calibri"/>
                <w:sz w:val="22"/>
              </w:rPr>
              <w:t>Adjusted EPS — FY2026</w:t>
            </w:r>
          </w:p>
        </w:tc>
        <w:tc>
          <w:tcPr>
            <w:tcW w:type="dxa" w:w="1080"/>
          </w:tcPr>
          <w:p>
            <w:r>
              <w:rPr>
                <w:rFonts w:ascii="Calibri" w:hAnsi="Calibri"/>
                <w:sz w:val="22"/>
              </w:rPr>
              <w:t>$9.55</w:t>
            </w:r>
          </w:p>
        </w:tc>
        <w:tc>
          <w:tcPr>
            <w:tcW w:type="dxa" w:w="1080"/>
          </w:tcPr>
          <w:p>
            <w:r>
              <w:rPr>
                <w:rFonts w:ascii="Calibri" w:hAnsi="Calibri"/>
                <w:sz w:val="22"/>
              </w:rPr>
              <w:t>$9.56</w:t>
            </w:r>
          </w:p>
        </w:tc>
        <w:tc>
          <w:tcPr>
            <w:tcW w:type="dxa" w:w="1080"/>
          </w:tcPr>
          <w:p>
            <w:r>
              <w:rPr>
                <w:rFonts w:ascii="Calibri" w:hAnsi="Calibri"/>
                <w:sz w:val="22"/>
              </w:rPr>
              <w:t>+0.1%</w:t>
            </w:r>
          </w:p>
        </w:tc>
        <w:tc>
          <w:tcPr>
            <w:tcW w:type="dxa" w:w="1080"/>
          </w:tcPr>
          <w:p>
            <w:r>
              <w:rPr>
                <w:rFonts w:ascii="Calibri" w:hAnsi="Calibri"/>
                <w:sz w:val="22"/>
              </w:rPr>
              <w:t>10–12%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 midpoint</w:t>
            </w:r>
          </w:p>
        </w:tc>
      </w:tr>
      <w:tr>
        <w:tc>
          <w:tcPr>
            <w:tcW w:type="dxa" w:w="1080"/>
          </w:tcPr>
          <w:p>
            <w:r>
              <w:rPr>
                <w:rFonts w:ascii="Calibri" w:hAnsi="Calibri"/>
                <w:sz w:val="22"/>
              </w:rPr>
              <w:t>Adjusted EPS — FY2027</w:t>
            </w:r>
          </w:p>
        </w:tc>
        <w:tc>
          <w:tcPr>
            <w:tcW w:type="dxa" w:w="1080"/>
          </w:tcPr>
          <w:p>
            <w:r>
              <w:rPr>
                <w:rFonts w:ascii="Calibri" w:hAnsi="Calibri"/>
                <w:sz w:val="22"/>
              </w:rPr>
              <w:t>$10.37</w:t>
            </w:r>
          </w:p>
        </w:tc>
        <w:tc>
          <w:tcPr>
            <w:tcW w:type="dxa" w:w="1080"/>
          </w:tcPr>
          <w:p>
            <w:r>
              <w:rPr>
                <w:rFonts w:ascii="Calibri" w:hAnsi="Calibri"/>
                <w:sz w:val="22"/>
              </w:rPr>
              <w:t>$10.41</w:t>
            </w:r>
          </w:p>
        </w:tc>
        <w:tc>
          <w:tcPr>
            <w:tcW w:type="dxa" w:w="1080"/>
          </w:tcPr>
          <w:p>
            <w:r>
              <w:rPr>
                <w:rFonts w:ascii="Calibri" w:hAnsi="Calibri"/>
                <w:sz w:val="22"/>
              </w:rPr>
              <w:t>+0.4%</w:t>
            </w:r>
          </w:p>
        </w:tc>
        <w:tc>
          <w:tcPr>
            <w:tcW w:type="dxa" w:w="1080"/>
          </w:tcPr>
          <w:p>
            <w:r>
              <w:rPr>
                <w:rFonts w:ascii="Calibri" w:hAnsi="Calibri"/>
                <w:sz w:val="22"/>
              </w:rPr>
              <w:t>N/A (next cycle)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Closed Sales — FY2026</w:t>
            </w:r>
          </w:p>
        </w:tc>
        <w:tc>
          <w:tcPr>
            <w:tcW w:type="dxa" w:w="1080"/>
          </w:tcPr>
          <w:p>
            <w:r>
              <w:rPr>
                <w:rFonts w:ascii="Calibri" w:hAnsi="Calibri"/>
                <w:sz w:val="22"/>
              </w:rPr>
              <w:t>$282.2M</w:t>
            </w:r>
          </w:p>
        </w:tc>
        <w:tc>
          <w:tcPr>
            <w:tcW w:type="dxa" w:w="1080"/>
          </w:tcPr>
          <w:p>
            <w:r>
              <w:rPr>
                <w:rFonts w:ascii="Calibri" w:hAnsi="Calibri"/>
                <w:sz w:val="22"/>
              </w:rPr>
              <w:t>$282.2M</w:t>
            </w:r>
          </w:p>
        </w:tc>
        <w:tc>
          <w:tcPr>
            <w:tcW w:type="dxa" w:w="1080"/>
          </w:tcPr>
          <w:p>
            <w:r>
              <w:rPr>
                <w:rFonts w:ascii="Calibri" w:hAnsi="Calibri"/>
                <w:sz w:val="22"/>
              </w:rPr>
              <w:t>0.0%</w:t>
            </w:r>
          </w:p>
        </w:tc>
        <w:tc>
          <w:tcPr>
            <w:tcW w:type="dxa" w:w="1080"/>
          </w:tcPr>
          <w:p>
            <w:r>
              <w:rPr>
                <w:rFonts w:ascii="Calibri" w:hAnsi="Calibri"/>
                <w:sz w:val="22"/>
              </w:rPr>
              <w:t>$240–290M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midpoint of guidance range</w:t>
            </w:r>
          </w:p>
        </w:tc>
      </w:tr>
    </w:tbl>
    <w:p>
      <w:r>
        <w:rPr>
          <w:rFonts w:ascii="Calibri" w:hAnsi="Calibri"/>
          <w:color w:val="525866"/>
          <w:sz w:val="22"/>
        </w:rPr>
        <w:t>Estimates have been essentially frozen since the Q3 print — the largest move is +0.5% on Q4 EPS, which is noise. This stability is a double-edged sword: it confirms the street has digested the closed sales cut, but it also means there is no estimate cushion built in from downward revisions. The risk/reward is asymmetric to the upside if Q4 closed sales surprise.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BR has </w:t>
      </w:r>
      <w:r>
        <w:rPr>
          <w:rFonts w:ascii="Calibri" w:hAnsi="Calibri"/>
          <w:b/>
          <w:color w:val="525866"/>
          <w:sz w:val="22"/>
        </w:rPr>
        <w:t>significantly underperformed the S&amp;P 500</w:t>
      </w:r>
      <w:r>
        <w:rPr>
          <w:rFonts w:ascii="Calibri" w:hAnsi="Calibri"/>
          <w:color w:val="525866"/>
          <w:sz w:val="22"/>
        </w:rPr>
        <w:t xml:space="preserve"> since Q3 earnings (Apr 30, 2026), declining ~-0.4% vs. SPY +5.4% through August 3 — driven by multiple compression rather than estimate cuts, as EPS revisions have been flat. The stock hit a trough of ~$135 in late June before recovering to ~$154, suggesting the market is beginning to re-rate the closed sales narrative as timing rather than structural.</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BR vs. S&amp;P 500 (SPY) — Indexed to 100 at Last Earnings Date (Apr 30, 2026). Source: Stock Price Data.</w:t>
      </w:r>
    </w:p>
    <w:p>
      <w:r>
        <w:rPr>
          <w:rFonts w:ascii="Calibri" w:hAnsi="Calibri"/>
          <w:color w:val="525866"/>
          <w:sz w:val="22"/>
        </w:rPr>
        <w:t>Key observations: (1) BR sold off sharply in mid-May (to ~$143) as the market digested the closed sales guidance cut and sector rotation toward hyperscalers continued; (2) the stock bottomed in late June (~$135–136) before recovering on improving sentiment around the pipeline narrative and broader fintech re-rating; (3) the S&amp;P 500 has outperformed throughout, reflecting BR’s idiosyncratic headwinds rather than macro. The stock currently trades at approximately 21x NTM EPS — below its 5-year average of ~25x — offering a valuation entry point if Q4 execution is clean. Sector ETF used: SPY (S&amp;P 500), as BR’s closest liquid benchmark given its diversified fintech/infrastructure profile.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Q3 earnings is the </w:t>
      </w:r>
      <w:r>
        <w:rPr>
          <w:rFonts w:ascii="Calibri" w:hAnsi="Calibri"/>
          <w:b/>
          <w:color w:val="525866"/>
          <w:sz w:val="22"/>
        </w:rPr>
        <w:t>launch of agentic AI in production (May 11, 2026)</w:t>
      </w:r>
      <w:r>
        <w:rPr>
          <w:rFonts w:ascii="Calibri" w:hAnsi="Calibri"/>
          <w:color w:val="525866"/>
          <w:sz w:val="22"/>
        </w:rPr>
        <w:t xml:space="preserve"> and the comprehensive tokenized equities governance solution (May 5, 2026) — both validate the strategic narrative management has been building and could drive incremental pipeline conversion in FY2027.</w:t>
      </w:r>
    </w:p>
    <w:p>
      <w:pPr>
        <w:pStyle w:val="ListBullet"/>
        <w:ind w:left="360" w:hanging="360"/>
      </w:pPr>
      <w:r>
        <w:rPr>
          <w:rFonts w:ascii="Calibri" w:hAnsi="Calibri"/>
          <w:b/>
          <w:color w:val="525866"/>
          <w:sz w:val="22"/>
        </w:rPr>
        <w:t>May 5, 2026 — Comprehensive Tokenized Equities Governance Solution Announced.</w:t>
      </w:r>
      <w:r>
        <w:rPr>
          <w:rFonts w:ascii="Calibri" w:hAnsi="Calibri"/>
          <w:color w:val="525866"/>
          <w:sz w:val="22"/>
        </w:rPr>
        <w:t xml:space="preserve"> Broadridge announced a solution covering all three SEC-outlined tokenization models (issuer-native/Galaxy, synthetic/Ondo, intermediary). Implication: Positions BR as the definitive infrastructure provider for tokenized equity governance, directly addressing the bear case that tokenization would disintermediate ICS.</w:t>
      </w:r>
    </w:p>
    <w:p>
      <w:pPr>
        <w:pStyle w:val="ListBullet"/>
        <w:ind w:left="360" w:hanging="360"/>
      </w:pPr>
      <w:r>
        <w:rPr>
          <w:rFonts w:ascii="Calibri" w:hAnsi="Calibri"/>
          <w:b/>
          <w:color w:val="525866"/>
          <w:sz w:val="22"/>
        </w:rPr>
        <w:t>May 6, 2026 — Investor Presentation Filed (8-K) / $500M Senior Notes Priced.</w:t>
      </w:r>
      <w:r>
        <w:rPr>
          <w:rFonts w:ascii="Calibri" w:hAnsi="Calibri"/>
          <w:color w:val="525866"/>
          <w:sz w:val="22"/>
        </w:rPr>
        <w:t xml:space="preserve"> Broadridge priced a $500M senior notes offering to refinance nearer-term debt. Implication: Extends maturity profile, reduces near-term refinancing risk, and preserves capital allocation flexibility for M&amp;A and buybacks.</w:t>
      </w:r>
    </w:p>
    <w:p>
      <w:pPr>
        <w:pStyle w:val="ListBullet"/>
        <w:ind w:left="360" w:hanging="360"/>
      </w:pPr>
      <w:r>
        <w:rPr>
          <w:rFonts w:ascii="Calibri" w:hAnsi="Calibri"/>
          <w:b/>
          <w:color w:val="525866"/>
          <w:sz w:val="22"/>
        </w:rPr>
        <w:t>May 11, 2026 — Agentic AI Launched in Production.</w:t>
      </w:r>
      <w:r>
        <w:rPr>
          <w:rFonts w:ascii="Calibri" w:hAnsi="Calibri"/>
          <w:color w:val="525866"/>
          <w:sz w:val="22"/>
        </w:rPr>
        <w:t xml:space="preserve"> Broadridge formally launched agentic AI across capital markets and wealth workflows, offering two client paths: full managed service (25–30% upfront cost savings) or standalone platform deployment. Implication: Converts the AI narrative from conceptual to revenue-generating; management frames this as mutualizing AI investment across clients, a key competitive differentiator.</w:t>
      </w:r>
    </w:p>
    <w:p>
      <w:pPr>
        <w:pStyle w:val="ListBullet"/>
        <w:ind w:left="360" w:hanging="360"/>
      </w:pPr>
      <w:r>
        <w:rPr>
          <w:rFonts w:ascii="Calibri" w:hAnsi="Calibri"/>
          <w:b/>
          <w:color w:val="525866"/>
          <w:sz w:val="22"/>
        </w:rPr>
        <w:t>May 12, 2026 — Needham Technology Conference.</w:t>
      </w:r>
      <w:r>
        <w:rPr>
          <w:rFonts w:ascii="Calibri" w:hAnsi="Calibri"/>
          <w:color w:val="525866"/>
          <w:sz w:val="22"/>
        </w:rPr>
        <w:t xml:space="preserve"> Management reiterated FY2026 guidance (recurring rev at or above 7%, EPS 10–12%) and highlighted 30% labor productivity gains in managed services from AI. Implication: No negative pre-announcement; tone constructive.</w:t>
      </w:r>
    </w:p>
    <w:p>
      <w:pPr>
        <w:pStyle w:val="ListBullet"/>
        <w:ind w:left="360" w:hanging="360"/>
      </w:pPr>
      <w:r>
        <w:rPr>
          <w:rFonts w:ascii="Calibri" w:hAnsi="Calibri"/>
          <w:b/>
          <w:color w:val="525866"/>
          <w:sz w:val="22"/>
        </w:rPr>
        <w:t>May 15, 2026 — $500M Senior Notes Offering Closed.</w:t>
      </w:r>
      <w:r>
        <w:rPr>
          <w:rFonts w:ascii="Calibri" w:hAnsi="Calibri"/>
          <w:color w:val="525866"/>
          <w:sz w:val="22"/>
        </w:rPr>
        <w:t xml:space="preserve"> Debt refinancing completed. Implication: Balance sheet strengthened; leverage below target range.</w:t>
      </w:r>
    </w:p>
    <w:p>
      <w:pPr>
        <w:pStyle w:val="ListBullet"/>
        <w:ind w:left="360" w:hanging="360"/>
      </w:pPr>
      <w:r>
        <w:rPr>
          <w:rFonts w:ascii="Calibri" w:hAnsi="Calibri"/>
          <w:b/>
          <w:color w:val="525866"/>
          <w:sz w:val="22"/>
        </w:rPr>
        <w:t>May 21, 2026 — Quarterly Dividend Declared ($0.975/share).</w:t>
      </w:r>
      <w:r>
        <w:rPr>
          <w:rFonts w:ascii="Calibri" w:hAnsi="Calibri"/>
          <w:color w:val="525866"/>
          <w:sz w:val="22"/>
        </w:rPr>
        <w:t xml:space="preserve"> Payable July 2, 2026 to holders of record June 12, 2026. Implication: Consistent with ~40% payout ratio target; no change to capital return policy.</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Gokey directly addressed the stock’s YTD underperformance, attributing it to sector reallocation, AI uncertainty, and tokenization bear case concerns — and characterized both as tailwinds. Implication: Management is actively engaging on the valuation gap; tone is unusually direct.</w:t>
      </w:r>
    </w:p>
    <w:p>
      <w:pPr>
        <w:pStyle w:val="ListBullet"/>
        <w:ind w:left="360" w:hanging="360"/>
      </w:pPr>
      <w:r>
        <w:rPr>
          <w:rFonts w:ascii="Calibri" w:hAnsi="Calibri"/>
          <w:b/>
          <w:color w:val="525866"/>
          <w:sz w:val="22"/>
        </w:rPr>
        <w:t>June 9, 2026 — RBC Capital Markets Financial Technology Conference.</w:t>
      </w:r>
      <w:r>
        <w:rPr>
          <w:rFonts w:ascii="Calibri" w:hAnsi="Calibri"/>
          <w:color w:val="525866"/>
          <w:sz w:val="22"/>
        </w:rPr>
        <w:t xml:space="preserve"> Management highlighted DLR processing $365B/day ($7T/month), pass-through voting at 900 funds/$8–9T AUM, and the AI-native custom policy engine serving ~$800B AUM. Implication: Continued execution on strategic initiatives; no guidance changes.</w:t>
      </w:r>
    </w:p>
    <w:p>
      <w:pPr>
        <w:pStyle w:val="ListBullet"/>
        <w:ind w:left="360" w:hanging="360"/>
      </w:pPr>
      <w:r>
        <w:rPr>
          <w:rFonts w:ascii="Calibri" w:hAnsi="Calibri"/>
          <w:b/>
          <w:color w:val="525866"/>
          <w:sz w:val="22"/>
        </w:rPr>
        <w:t>July 21, 2026 — Q4 FY2026 Earnings Webcast Scheduled.</w:t>
      </w:r>
      <w:r>
        <w:rPr>
          <w:rFonts w:ascii="Calibri" w:hAnsi="Calibri"/>
          <w:color w:val="525866"/>
          <w:sz w:val="22"/>
        </w:rPr>
        <w:t xml:space="preserve"> Broadridge confirmed August 4, 2026 as the earnings date. Implication: No pre-announcement or guidance update filed alongside the scheduling notice — consistent with management’s prior confidence.</w:t>
      </w:r>
    </w:p>
    <w:p>
      <w:pPr>
        <w:pStyle w:val="ListBullet"/>
        <w:ind w:left="360" w:hanging="360"/>
      </w:pPr>
      <w:r>
        <w:rPr>
          <w:rFonts w:ascii="Calibri" w:hAnsi="Calibri"/>
          <w:b/>
          <w:color w:val="525866"/>
          <w:sz w:val="22"/>
        </w:rPr>
        <w:t>Analyst Actions (Post-Q3):</w:t>
      </w:r>
      <w:r>
        <w:rPr>
          <w:rFonts w:ascii="Calibri" w:hAnsi="Calibri"/>
          <w:color w:val="525866"/>
          <w:sz w:val="22"/>
        </w:rPr>
        <w:t xml:space="preserve"> UBS lowered PT from $250 to $165 (Neutral, May 4); Needham lowered PT from $255 to $230 (Buy, May 1); DA Davidson lowered PT from $228 to $214 (Buy, May 5); RBC reiterated Outperform at $200 (June 22). Consensus rating: Moderate Buy (4 Buy, 4 Hold). Average PT ~$221. Implication: PT cuts reflect the closed sales cut but buy-side conviction remains; the wide PT range ($165–$257) reflects genuine debate on the tokenization/AI narrative.</w:t>
      </w:r>
    </w:p>
    <w:p>
      <w:r>
        <w:br w:type="page"/>
      </w:r>
    </w:p>
    <w:p>
      <w:pPr>
        <w:pStyle w:val="Heading2"/>
      </w:pPr>
      <w:r>
        <w:rPr>
          <w:rFonts w:ascii="Calibri" w:hAnsi="Calibri"/>
          <w:b/>
          <w:color w:val="3B4259"/>
          <w:sz w:val="28"/>
        </w:rPr>
        <w:t>7. Peer Commentaries — Read-Throughs for Q4 FY2026</w:t>
      </w:r>
    </w:p>
    <w:p>
      <w:r>
        <w:rPr>
          <w:rFonts w:ascii="Calibri" w:hAnsi="Calibri"/>
          <w:b/>
          <w:color w:val="525866"/>
          <w:sz w:val="22"/>
        </w:rPr>
        <w:t xml:space="preserve">Key Takeaway: </w:t>
      </w:r>
      <w:r>
        <w:rPr>
          <w:rFonts w:ascii="Calibri" w:hAnsi="Calibri"/>
          <w:color w:val="525866"/>
          <w:sz w:val="22"/>
        </w:rPr>
        <w:t xml:space="preserve">Peer commentary since Q3 earnings (April 30, 2026) is broadly </w:t>
      </w:r>
      <w:r>
        <w:rPr>
          <w:rFonts w:ascii="Calibri" w:hAnsi="Calibri"/>
          <w:b/>
          <w:color w:val="525866"/>
          <w:sz w:val="22"/>
        </w:rPr>
        <w:t>constructive for BR’s Q4 setup</w:t>
      </w:r>
      <w:r>
        <w:rPr>
          <w:rFonts w:ascii="Calibri" w:hAnsi="Calibri"/>
          <w:color w:val="525866"/>
          <w:sz w:val="22"/>
        </w:rPr>
        <w:t xml:space="preserve"> — financial institution technology budgets are at record levels, capital markets ACV is accelerating, and digital/AI demand is robust. The one watch item is </w:t>
      </w:r>
      <w:r>
        <w:rPr>
          <w:rFonts w:ascii="Calibri" w:hAnsi="Calibri"/>
          <w:b/>
          <w:color w:val="525866"/>
          <w:sz w:val="22"/>
        </w:rPr>
        <w:t>elongated deal cycles for larger, complex engagements</w:t>
      </w:r>
      <w:r>
        <w:rPr>
          <w:rFonts w:ascii="Calibri" w:hAnsi="Calibri"/>
          <w:color w:val="525866"/>
          <w:sz w:val="22"/>
        </w:rPr>
        <w:t>, which Jack Henry and FIS both corroborated, validating BR’s closed sales narrative as an industry-wide dynamic rather than a company-specific problem.</w:t>
      </w:r>
    </w:p>
    <w:p>
      <w:r>
        <w:rPr>
          <w:rFonts w:ascii="Calibri" w:hAnsi="Calibri"/>
          <w:color w:val="525866"/>
          <w:sz w:val="22"/>
        </w:rPr>
        <w:t>Note: Only commentary from the last 60 days (since ~June 3, 2026) or post-Q3 earnings conferences that speak to the current quarter (Q4 FY2026, ending June 30, 2026) or forward demand environment is included. Prior-quarter earnings results from peers are excluded.</w:t>
      </w:r>
    </w:p>
    <w:p>
      <w:pPr>
        <w:pStyle w:val="Heading3"/>
      </w:pPr>
      <w:r>
        <w:rPr>
          <w:rFonts w:ascii="Calibri" w:hAnsi="Calibri"/>
          <w:b/>
          <w:color w:val="3B4259"/>
          <w:sz w:val="24"/>
        </w:rPr>
        <w:t>FIS (Fidelity National Information Services) — Q1 2026 Earnings (May 8, 2026) &amp; Mizuho Conference (June 9, 2026)</w:t>
      </w:r>
    </w:p>
    <w:p>
      <w:r>
        <w:rPr>
          <w:rFonts w:ascii="Calibri" w:hAnsi="Calibri"/>
          <w:b/>
          <w:color w:val="525866"/>
          <w:sz w:val="22"/>
        </w:rPr>
        <w:t xml:space="preserve">Relevance to BR: </w:t>
      </w:r>
      <w:r>
        <w:rPr>
          <w:rFonts w:ascii="Calibri" w:hAnsi="Calibri"/>
          <w:color w:val="525866"/>
          <w:sz w:val="22"/>
        </w:rPr>
        <w:t>FIS serves the same financial institution client base as BR’s GTO segment and competes in capital markets technology. FIS commentary on banking technology budgets, capital markets ACV, and AI adoption is a direct read-through to BR’s GTO pipeline and deal cycle dynamics.</w:t>
      </w:r>
    </w:p>
    <w:p>
      <w:pPr>
        <w:pStyle w:val="ListBullet"/>
        <w:ind w:left="360" w:hanging="360"/>
      </w:pPr>
      <w:r>
        <w:rPr>
          <w:rFonts w:ascii="Calibri" w:hAnsi="Calibri"/>
          <w:b/>
          <w:color w:val="525866"/>
          <w:sz w:val="22"/>
        </w:rPr>
        <w:t>Capital Markets ACV up 45% YoY in Q1 2026</w:t>
      </w:r>
      <w:r>
        <w:rPr>
          <w:rFonts w:ascii="Calibri" w:hAnsi="Calibri"/>
          <w:i/>
          <w:color w:val="525866"/>
          <w:sz w:val="22"/>
        </w:rPr>
        <w:t xml:space="preserve"> (building on 34% in Q4 2025), with banking ACV up 13%. FIS CEO described this as “the pipeline is converting and the market is validating our strategy.” </w:t>
      </w:r>
      <w:r>
        <w:rPr>
          <w:rFonts w:ascii="Calibri" w:hAnsi="Calibri"/>
          <w:color w:val="525866"/>
          <w:sz w:val="22"/>
        </w:rPr>
        <w:t>Read-through: Strong capital markets technology demand environment supports BR’s GTO capital markets pipeline. The ACV acceleration at FIS is a leading indicator that deal cycles are converting, which is constructive for BR’s Q4 closed sales.</w:t>
      </w:r>
    </w:p>
    <w:p>
      <w:pPr>
        <w:pStyle w:val="ListBullet"/>
        <w:ind w:left="360" w:hanging="360"/>
      </w:pPr>
      <w:r>
        <w:rPr>
          <w:rFonts w:ascii="Calibri" w:hAnsi="Calibri"/>
          <w:b/>
          <w:color w:val="525866"/>
          <w:sz w:val="22"/>
        </w:rPr>
        <w:t>Banking technology budgets described as “record levels”</w:t>
      </w:r>
      <w:r>
        <w:rPr>
          <w:rFonts w:ascii="Calibri" w:hAnsi="Calibri"/>
          <w:i/>
          <w:color w:val="525866"/>
          <w:sz w:val="22"/>
        </w:rPr>
        <w:t xml:space="preserve"> at the Mizuho conference (June 9): “The underlying market is strong, which means the technology budgets are really strong.” Banks are spending on digital, payments, and AI. </w:t>
      </w:r>
      <w:r>
        <w:rPr>
          <w:rFonts w:ascii="Calibri" w:hAnsi="Calibri"/>
          <w:color w:val="525866"/>
          <w:sz w:val="22"/>
        </w:rPr>
        <w:t>Read-through: Directly supports BR’s GTO wealth and capital markets pipeline. If FI budgets are at record levels, the elongated deal cycle at BR is more likely a timing/complexity issue than a budget constraint.</w:t>
      </w:r>
    </w:p>
    <w:p>
      <w:pPr>
        <w:pStyle w:val="ListBullet"/>
        <w:ind w:left="360" w:hanging="360"/>
      </w:pPr>
      <w:r>
        <w:rPr>
          <w:rFonts w:ascii="Calibri" w:hAnsi="Calibri"/>
          <w:b/>
          <w:color w:val="525866"/>
          <w:sz w:val="22"/>
        </w:rPr>
        <w:t>Capital markets recurring revenue softness from macro-driven lending slowdown</w:t>
      </w:r>
      <w:r>
        <w:rPr>
          <w:rFonts w:ascii="Calibri" w:hAnsi="Calibri"/>
          <w:i/>
          <w:color w:val="525866"/>
          <w:sz w:val="22"/>
        </w:rPr>
        <w:t xml:space="preserve"> (debt issuances down, loan syndication soft) — FIS flagged ~130 bps headwind to capital markets recurring revenue from macro volatility. </w:t>
      </w:r>
      <w:r>
        <w:rPr>
          <w:rFonts w:ascii="Calibri" w:hAnsi="Calibri"/>
          <w:color w:val="525866"/>
          <w:sz w:val="22"/>
        </w:rPr>
        <w:t>Read-through: Modest negative for BR’s GTO capital markets segment, which includes fixed income and derivatives processing. However, BR’s GTO is more OMS/EMS-focused than lending-dependent.</w:t>
      </w:r>
    </w:p>
    <w:p>
      <w:pPr>
        <w:pStyle w:val="ListBullet"/>
        <w:ind w:left="360" w:hanging="360"/>
      </w:pPr>
      <w:r>
        <w:rPr>
          <w:rFonts w:ascii="Calibri" w:hAnsi="Calibri"/>
          <w:b/>
          <w:color w:val="525866"/>
          <w:sz w:val="22"/>
        </w:rPr>
        <w:t>FIS-Anthropic AI partnership announced</w:t>
      </w:r>
      <w:r>
        <w:rPr>
          <w:rFonts w:ascii="Calibri" w:hAnsi="Calibri"/>
          <w:i/>
          <w:color w:val="525866"/>
          <w:sz w:val="22"/>
        </w:rPr>
        <w:t xml:space="preserve"> — “industry-shaping agreement” for a financial crimes agent targeting 70–90% cost savings. FIS is “more than quadrupling AI spend.” </w:t>
      </w:r>
      <w:r>
        <w:rPr>
          <w:rFonts w:ascii="Calibri" w:hAnsi="Calibri"/>
          <w:color w:val="525866"/>
          <w:sz w:val="22"/>
        </w:rPr>
        <w:t>Read-through: Validates the AI investment thesis across financial infrastructure. BR’s agentic AI launch (May 11) is directly competitive with FIS’s offering; both are targeting the same bank/broker-dealer client base with managed service AI propositions.</w:t>
      </w:r>
    </w:p>
    <w:p>
      <w:pPr>
        <w:pStyle w:val="ListBullet"/>
        <w:ind w:left="360" w:hanging="360"/>
      </w:pPr>
      <w:r>
        <w:rPr>
          <w:rFonts w:ascii="Calibri" w:hAnsi="Calibri"/>
          <w:b/>
          <w:color w:val="525866"/>
          <w:sz w:val="22"/>
        </w:rPr>
        <w:t>M&amp;A activity at record levels</w:t>
      </w:r>
      <w:r>
        <w:rPr>
          <w:rFonts w:ascii="Calibri" w:hAnsi="Calibri"/>
          <w:i/>
          <w:color w:val="525866"/>
          <w:sz w:val="22"/>
        </w:rPr>
        <w:t xml:space="preserve"> — FIS noted bank M&amp;A approvals accelerating from 8–15 months under Biden to 3–6 months under current administration. </w:t>
      </w:r>
      <w:r>
        <w:rPr>
          <w:rFonts w:ascii="Calibri" w:hAnsi="Calibri"/>
          <w:color w:val="525866"/>
          <w:sz w:val="22"/>
        </w:rPr>
        <w:t>Read-through: Positive for BR’s ICS segment, as M&amp;A among financial institutions drives incremental proxy/disclosure activity and position growth.</w:t>
      </w:r>
    </w:p>
    <w:p>
      <w:pPr>
        <w:pStyle w:val="Heading3"/>
      </w:pPr>
      <w:r>
        <w:rPr>
          <w:rFonts w:ascii="Calibri" w:hAnsi="Calibri"/>
          <w:b/>
          <w:color w:val="3B4259"/>
          <w:sz w:val="24"/>
        </w:rPr>
        <w:t>Jack Henry &amp; Associates (JKHY) — Q3 FY2026 Earnings (May 6, 2026) &amp; RBC Conference (June 9, 2026)</w:t>
      </w:r>
    </w:p>
    <w:p>
      <w:r>
        <w:rPr>
          <w:rFonts w:ascii="Calibri" w:hAnsi="Calibri"/>
          <w:b/>
          <w:color w:val="525866"/>
          <w:sz w:val="22"/>
        </w:rPr>
        <w:t xml:space="preserve">Relevance to BR: </w:t>
      </w:r>
      <w:r>
        <w:rPr>
          <w:rFonts w:ascii="Calibri" w:hAnsi="Calibri"/>
          <w:color w:val="525866"/>
          <w:sz w:val="22"/>
        </w:rPr>
        <w:t>JKHY serves community banks and credit unions — a key client segment for BR’s GTO wealth management platform. JKHY’s commentary on bank technology budgets, deal cycles, and digital transformation is a direct read-through to BR’s GTO wealth pipeline.</w:t>
      </w:r>
    </w:p>
    <w:p>
      <w:pPr>
        <w:pStyle w:val="ListBullet"/>
        <w:ind w:left="360" w:hanging="360"/>
      </w:pPr>
      <w:r>
        <w:rPr>
          <w:rFonts w:ascii="Calibri" w:hAnsi="Calibri"/>
          <w:b/>
          <w:color w:val="525866"/>
          <w:sz w:val="22"/>
        </w:rPr>
        <w:t>88% of bank/credit union respondents expect to increase technology budgets over the next 2 years</w:t>
      </w:r>
      <w:r>
        <w:rPr>
          <w:rFonts w:ascii="Calibri" w:hAnsi="Calibri"/>
          <w:i/>
          <w:color w:val="525866"/>
          <w:sz w:val="22"/>
        </w:rPr>
        <w:t xml:space="preserve"> (up from 76% last year), with 41% planning 6–10% increases. AI is now the #1 priority for financial institutions. </w:t>
      </w:r>
      <w:r>
        <w:rPr>
          <w:rFonts w:ascii="Calibri" w:hAnsi="Calibri"/>
          <w:color w:val="525866"/>
          <w:sz w:val="22"/>
        </w:rPr>
        <w:t>Read-through: Strongest possible validation of BR’s GTO wealth platform pipeline. If community banks are accelerating tech spend, BR’s wealth management platform (a key part of the closed sales pipeline) should see improving conversion.</w:t>
      </w:r>
    </w:p>
    <w:p>
      <w:pPr>
        <w:pStyle w:val="ListBullet"/>
        <w:ind w:left="360" w:hanging="360"/>
      </w:pPr>
      <w:r>
        <w:rPr>
          <w:rFonts w:ascii="Calibri" w:hAnsi="Calibri"/>
          <w:b/>
          <w:color w:val="525866"/>
          <w:sz w:val="22"/>
        </w:rPr>
        <w:t>Deal cycles for larger institutions “take longer”</w:t>
      </w:r>
      <w:r>
        <w:rPr>
          <w:rFonts w:ascii="Calibri" w:hAnsi="Calibri"/>
          <w:i/>
          <w:color w:val="525866"/>
          <w:sz w:val="22"/>
        </w:rPr>
        <w:t xml:space="preserve"> — JKHY noted that as they move upmarket, contracts take longer, with a recent $9.2B institution win taking “a long, long time to secure.” </w:t>
      </w:r>
      <w:r>
        <w:rPr>
          <w:rFonts w:ascii="Calibri" w:hAnsi="Calibri"/>
          <w:color w:val="525866"/>
          <w:sz w:val="22"/>
        </w:rPr>
        <w:t>Read-through: Directly corroborates BR’s closed sales guidance cut narrative. Elongated deal cycles for larger, more complex engagements are an industry-wide dynamic, not a BR-specific problem. This is the most important read-through for investor sentiment.</w:t>
      </w:r>
    </w:p>
    <w:p>
      <w:pPr>
        <w:pStyle w:val="ListBullet"/>
        <w:ind w:left="360" w:hanging="360"/>
      </w:pPr>
      <w:r>
        <w:rPr>
          <w:rFonts w:ascii="Calibri" w:hAnsi="Calibri"/>
          <w:b/>
          <w:color w:val="525866"/>
          <w:sz w:val="22"/>
        </w:rPr>
        <w:t>JKHY raised full-year guidance for the third consecutive quarter</w:t>
      </w:r>
      <w:r>
        <w:rPr>
          <w:rFonts w:ascii="Calibri" w:hAnsi="Calibri"/>
          <w:i/>
          <w:color w:val="525866"/>
          <w:sz w:val="22"/>
        </w:rPr>
        <w:t xml:space="preserve"> — non-GAAP revenue growth guidance tightened to 6.6–7.1%, margin expansion guidance raised to 75–95 bps from 20–40 bps. </w:t>
      </w:r>
      <w:r>
        <w:rPr>
          <w:rFonts w:ascii="Calibri" w:hAnsi="Calibri"/>
          <w:color w:val="525866"/>
          <w:sz w:val="22"/>
        </w:rPr>
        <w:t>Read-through: Positive for the broader fintech infrastructure sector. Consistent execution at JKHY reduces the risk that BR’s Q4 guidance is too optimistic.</w:t>
      </w:r>
    </w:p>
    <w:p>
      <w:pPr>
        <w:pStyle w:val="ListBullet"/>
        <w:ind w:left="360" w:hanging="360"/>
      </w:pPr>
      <w:r>
        <w:rPr>
          <w:rFonts w:ascii="Calibri" w:hAnsi="Calibri"/>
          <w:b/>
          <w:color w:val="525866"/>
          <w:sz w:val="22"/>
        </w:rPr>
        <w:t>Pipeline “extremely strong” across all three segments</w:t>
      </w:r>
      <w:r>
        <w:rPr>
          <w:rFonts w:ascii="Calibri" w:hAnsi="Calibri"/>
          <w:i/>
          <w:color w:val="525866"/>
          <w:sz w:val="22"/>
        </w:rPr>
        <w:t xml:space="preserve"> — JKHY CEO: “Our pipelines are extremely strong, not just in core, but in payments and complementary as well.” 60% of core wins in FY2026 included digital and card (trifecta wins), up from 29% last year. </w:t>
      </w:r>
      <w:r>
        <w:rPr>
          <w:rFonts w:ascii="Calibri" w:hAnsi="Calibri"/>
          <w:color w:val="525866"/>
          <w:sz w:val="22"/>
        </w:rPr>
        <w:t>Read-through: Strong pipeline at JKHY suggests the financial institution technology spending environment is healthy, which is constructive for BR’s GTO wealth platform pipeline.</w:t>
      </w:r>
    </w:p>
    <w:p>
      <w:pPr>
        <w:pStyle w:val="ListBullet"/>
        <w:ind w:left="360" w:hanging="360"/>
      </w:pPr>
      <w:r>
        <w:rPr>
          <w:rFonts w:ascii="Calibri" w:hAnsi="Calibri"/>
          <w:b/>
          <w:color w:val="525866"/>
          <w:sz w:val="22"/>
        </w:rPr>
        <w:t>AI adoption: 70–90% improvement in development throughput</w:t>
      </w:r>
      <w:r>
        <w:rPr>
          <w:rFonts w:ascii="Calibri" w:hAnsi="Calibri"/>
          <w:i/>
          <w:color w:val="525866"/>
          <w:sz w:val="22"/>
        </w:rPr>
        <w:t xml:space="preserve"> from AI tools; 14 AI product POCs in progress. JKHY views AI as “an augment and accelerator, not a disintermediator.” </w:t>
      </w:r>
      <w:r>
        <w:rPr>
          <w:rFonts w:ascii="Calibri" w:hAnsi="Calibri"/>
          <w:color w:val="525866"/>
          <w:sz w:val="22"/>
        </w:rPr>
        <w:t>Read-through: Validates BR’s AI-as-tailwind narrative. Both companies are framing AI as a productivity multiplier and new revenue opportunity, not a threat to their infrastructure moats.</w:t>
      </w:r>
    </w:p>
    <w:p>
      <w:pPr>
        <w:pStyle w:val="Heading3"/>
      </w:pPr>
      <w:r>
        <w:rPr>
          <w:rFonts w:ascii="Calibri" w:hAnsi="Calibri"/>
          <w:b/>
          <w:color w:val="3B4259"/>
          <w:sz w:val="24"/>
        </w:rPr>
        <w:t>State Street Corporation (STT) — Q2 2026 Earnings (July 16, 2026)</w:t>
      </w:r>
    </w:p>
    <w:p>
      <w:r>
        <w:rPr>
          <w:rFonts w:ascii="Calibri" w:hAnsi="Calibri"/>
          <w:b/>
          <w:color w:val="525866"/>
          <w:sz w:val="22"/>
        </w:rPr>
        <w:t xml:space="preserve">Relevance to BR: </w:t>
      </w:r>
      <w:r>
        <w:rPr>
          <w:rFonts w:ascii="Calibri" w:hAnsi="Calibri"/>
          <w:color w:val="525866"/>
          <w:sz w:val="22"/>
        </w:rPr>
        <w:t>State Street is a major custodian bank and one of BR’s largest ICS clients (proxy/disclosure, fund communications). STT’s commentary on AUC growth, fund flows, digital assets, and technology investment is a direct read-through to BR’s ICS recurring revenue and position growth.</w:t>
      </w:r>
    </w:p>
    <w:p>
      <w:pPr>
        <w:pStyle w:val="ListBullet"/>
        <w:ind w:left="360" w:hanging="360"/>
      </w:pPr>
      <w:r>
        <w:rPr>
          <w:rFonts w:ascii="Calibri" w:hAnsi="Calibri"/>
          <w:b/>
          <w:color w:val="525866"/>
          <w:sz w:val="22"/>
        </w:rPr>
        <w:t>AUC at record $57.9 trillion, up 18% YoY</w:t>
      </w:r>
      <w:r>
        <w:rPr>
          <w:rFonts w:ascii="Calibri" w:hAnsi="Calibri"/>
          <w:i/>
          <w:color w:val="525866"/>
          <w:sz w:val="22"/>
        </w:rPr>
        <w:t xml:space="preserve">; servicing fees up 13% YoY with organic growth of ~7%. Servicing fee sales of $87M in Q2 reflect “continued client demand across regions and strength in strategic growth areas, including alternatives.” </w:t>
      </w:r>
      <w:r>
        <w:rPr>
          <w:rFonts w:ascii="Calibri" w:hAnsi="Calibri"/>
          <w:color w:val="525866"/>
          <w:sz w:val="22"/>
        </w:rPr>
        <w:t>Read-through: Record AUC and strong fund flows are a direct positive for BR’s ICS mutual fund and ETF position growth. Higher AUC means more positions, more proxy/disclosure activity, and more regulatory communications.</w:t>
      </w:r>
    </w:p>
    <w:p>
      <w:pPr>
        <w:pStyle w:val="ListBullet"/>
        <w:ind w:left="360" w:hanging="360"/>
      </w:pPr>
      <w:r>
        <w:rPr>
          <w:rFonts w:ascii="Calibri" w:hAnsi="Calibri"/>
          <w:b/>
          <w:color w:val="525866"/>
          <w:sz w:val="22"/>
        </w:rPr>
        <w:t>Fee revenue guidance raised to 12–13% growth (from 7–9%)</w:t>
      </w:r>
      <w:r>
        <w:rPr>
          <w:rFonts w:ascii="Calibri" w:hAnsi="Calibri"/>
          <w:i/>
          <w:color w:val="525866"/>
          <w:sz w:val="22"/>
        </w:rPr>
        <w:t xml:space="preserve"> for FY2026, driven by organic growth in servicing and management fees and healthy client activity in markets. </w:t>
      </w:r>
      <w:r>
        <w:rPr>
          <w:rFonts w:ascii="Calibri" w:hAnsi="Calibri"/>
          <w:color w:val="525866"/>
          <w:sz w:val="22"/>
        </w:rPr>
        <w:t>Read-through: STT’s strong fee revenue growth reflects healthy capital markets activity and fund flows — both of which drive BR’s ICS position growth and event-driven revenue.</w:t>
      </w:r>
    </w:p>
    <w:p>
      <w:pPr>
        <w:pStyle w:val="ListBullet"/>
        <w:ind w:left="360" w:hanging="360"/>
      </w:pPr>
      <w:r>
        <w:rPr>
          <w:rFonts w:ascii="Calibri" w:hAnsi="Calibri"/>
          <w:b/>
          <w:color w:val="525866"/>
          <w:sz w:val="22"/>
        </w:rPr>
        <w:t>Tokenized fund servicing capability announced for year-end 2026</w:t>
      </w:r>
      <w:r>
        <w:rPr>
          <w:rFonts w:ascii="Calibri" w:hAnsi="Calibri"/>
          <w:i/>
          <w:color w:val="525866"/>
          <w:sz w:val="22"/>
        </w:rPr>
        <w:t xml:space="preserve"> — a leading European asset manager selected STT to service tokenized money market funds. STT launched a tokenized money market solution and stablecoin reserves fund in Q2. </w:t>
      </w:r>
      <w:r>
        <w:rPr>
          <w:rFonts w:ascii="Calibri" w:hAnsi="Calibri"/>
          <w:color w:val="525866"/>
          <w:sz w:val="22"/>
        </w:rPr>
        <w:t>Read-through: STT’s active tokenization buildout validates BR’s thesis that tokenized securities will require the same proxy/disclosure infrastructure as traditional securities. STT is a likely early client for BR’s tokenized equities governance solution.</w:t>
      </w:r>
    </w:p>
    <w:p>
      <w:pPr>
        <w:pStyle w:val="ListBullet"/>
        <w:ind w:left="360" w:hanging="360"/>
      </w:pPr>
      <w:r>
        <w:rPr>
          <w:rFonts w:ascii="Calibri" w:hAnsi="Calibri"/>
          <w:b/>
          <w:color w:val="525866"/>
          <w:sz w:val="22"/>
        </w:rPr>
        <w:t>AI transformation: targeting 30–40% increase in software developer productivity</w:t>
      </w:r>
      <w:r>
        <w:rPr>
          <w:rFonts w:ascii="Calibri" w:hAnsi="Calibri"/>
          <w:i/>
          <w:color w:val="525866"/>
          <w:sz w:val="22"/>
        </w:rPr>
        <w:t xml:space="preserve">; $1B run-rate transformation benefits by 2029 (75% expense, 25% revenue). STT is embedding agentic AI into integrated agile delivery teams. </w:t>
      </w:r>
      <w:r>
        <w:rPr>
          <w:rFonts w:ascii="Calibri" w:hAnsi="Calibri"/>
          <w:color w:val="525866"/>
          <w:sz w:val="22"/>
        </w:rPr>
        <w:t>Read-through: STT’s AI investment validates the managed service AI opportunity BR is targeting with its agentic AI platform. Large custodians are actively seeking to outsource AI-enabled operations — exactly the use case BR’s managed service offering addresses.</w:t>
      </w:r>
    </w:p>
    <w:p>
      <w:pPr>
        <w:pStyle w:val="ListBullet"/>
        <w:ind w:left="360" w:hanging="360"/>
      </w:pPr>
      <w:r>
        <w:rPr>
          <w:rFonts w:ascii="Calibri" w:hAnsi="Calibri"/>
          <w:b/>
          <w:color w:val="525866"/>
          <w:sz w:val="22"/>
        </w:rPr>
        <w:t>Annual recurring revenue up ~14%; revenue backlog grew 6% YoY</w:t>
      </w:r>
      <w:r>
        <w:rPr>
          <w:rFonts w:ascii="Calibri" w:hAnsi="Calibri"/>
          <w:i/>
          <w:color w:val="525866"/>
          <w:sz w:val="22"/>
        </w:rPr>
        <w:t xml:space="preserve"> from SaaS implementations and conversions. </w:t>
      </w:r>
      <w:r>
        <w:rPr>
          <w:rFonts w:ascii="Calibri" w:hAnsi="Calibri"/>
          <w:color w:val="525866"/>
          <w:sz w:val="22"/>
        </w:rPr>
        <w:t>Read-through: STT’s SaaS conversion momentum is a positive signal for BR’s GTO software platform, which is also converting clients from on-premise to SaaS/cloud delivery.</w:t>
      </w:r>
    </w:p>
    <w:p>
      <w:pPr>
        <w:pStyle w:val="Heading3"/>
      </w:pPr>
      <w:r>
        <w:rPr>
          <w:rFonts w:ascii="Calibri" w:hAnsi="Calibri"/>
          <w:b/>
          <w:color w:val="3B4259"/>
          <w:sz w:val="24"/>
        </w:rPr>
        <w:t>Fiserv (FI) — Q1 2026 Earnings (May 5, 2026) &amp; Investor Day (May 14, 2026)</w:t>
      </w:r>
    </w:p>
    <w:p>
      <w:r>
        <w:rPr>
          <w:rFonts w:ascii="Calibri" w:hAnsi="Calibri"/>
          <w:b/>
          <w:color w:val="525866"/>
          <w:sz w:val="22"/>
        </w:rPr>
        <w:t xml:space="preserve">Relevance to BR: </w:t>
      </w:r>
      <w:r>
        <w:rPr>
          <w:rFonts w:ascii="Calibri" w:hAnsi="Calibri"/>
          <w:color w:val="525866"/>
          <w:sz w:val="22"/>
        </w:rPr>
        <w:t>Fiserv serves financial institutions with payments and banking technology — overlapping with BR’s GTO wealth management client base. FI’s commentary on bank technology spending, deal cycles, and digital transformation is a secondary read-through.</w:t>
      </w:r>
    </w:p>
    <w:p>
      <w:pPr>
        <w:pStyle w:val="ListBullet"/>
        <w:ind w:left="360" w:hanging="360"/>
      </w:pPr>
      <w:r>
        <w:rPr>
          <w:rFonts w:ascii="Calibri" w:hAnsi="Calibri"/>
          <w:b/>
          <w:color w:val="525866"/>
          <w:sz w:val="22"/>
        </w:rPr>
        <w:t>Organic revenue down 3.6% in Q1 2026</w:t>
      </w:r>
      <w:r>
        <w:rPr>
          <w:rFonts w:ascii="Calibri" w:hAnsi="Calibri"/>
          <w:i/>
          <w:color w:val="525866"/>
          <w:sz w:val="22"/>
        </w:rPr>
        <w:t xml:space="preserve"> (in line with guidance), with Q2 expected to be the “trough in terms of year-on-year revenue decline.” FI expects to be a “mid-single-digit adjusted revenue and double-digit EPS growth” company going forward. </w:t>
      </w:r>
      <w:r>
        <w:rPr>
          <w:rFonts w:ascii="Calibri" w:hAnsi="Calibri"/>
          <w:color w:val="525866"/>
          <w:sz w:val="22"/>
        </w:rPr>
        <w:t>Read-through: FI’s near-term revenue headwinds are company-specific (TSYS integration, nonrecurring revenue lapping) and not indicative of broader fintech demand weakness. The underlying demand environment FI describes is healthy.</w:t>
      </w:r>
    </w:p>
    <w:p>
      <w:pPr>
        <w:pStyle w:val="ListBullet"/>
        <w:ind w:left="360" w:hanging="360"/>
      </w:pPr>
      <w:r>
        <w:rPr>
          <w:rFonts w:ascii="Calibri" w:hAnsi="Calibri"/>
          <w:b/>
          <w:color w:val="525866"/>
          <w:sz w:val="22"/>
        </w:rPr>
        <w:t>Banking technology budgets “really strong”</w:t>
      </w:r>
      <w:r>
        <w:rPr>
          <w:rFonts w:ascii="Calibri" w:hAnsi="Calibri"/>
          <w:i/>
          <w:color w:val="525866"/>
          <w:sz w:val="22"/>
        </w:rPr>
        <w:t xml:space="preserve"> — FI CEO: “The underlying market is strong, which means the technology budgets are really strong.” Banks are spending on digital, payments, and AI. </w:t>
      </w:r>
      <w:r>
        <w:rPr>
          <w:rFonts w:ascii="Calibri" w:hAnsi="Calibri"/>
          <w:color w:val="525866"/>
          <w:sz w:val="22"/>
        </w:rPr>
        <w:t>Read-through: Consistent with JKHY and FIS commentary — financial institution technology spending is at record levels, which is constructive for BR’s GTO pipeline.</w:t>
      </w:r>
    </w:p>
    <w:p>
      <w:pPr>
        <w:pStyle w:val="ListBullet"/>
        <w:ind w:left="360" w:hanging="360"/>
      </w:pPr>
      <w:r>
        <w:rPr>
          <w:rFonts w:ascii="Calibri" w:hAnsi="Calibri"/>
          <w:b/>
          <w:color w:val="525866"/>
          <w:sz w:val="22"/>
        </w:rPr>
        <w:t>Stablecoin pilot planned for summer 2026</w:t>
      </w:r>
      <w:r>
        <w:rPr>
          <w:rFonts w:ascii="Calibri" w:hAnsi="Calibri"/>
          <w:i/>
          <w:color w:val="525866"/>
          <w:sz w:val="22"/>
        </w:rPr>
        <w:t xml:space="preserve">; Project Keystone (tokenized deposit network with 5 U.S. banks) generating strong client interest. </w:t>
      </w:r>
      <w:r>
        <w:rPr>
          <w:rFonts w:ascii="Calibri" w:hAnsi="Calibri"/>
          <w:color w:val="525866"/>
          <w:sz w:val="22"/>
        </w:rPr>
        <w:t>Read-through: Validates the digital asset/tokenization buildout across the financial services ecosystem. As banks adopt tokenized deposits and stablecoins, they will need BR’s infrastructure for books and records, cost basis, and proxy/disclosure.</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Read-Through for BR</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FIS</w:t>
            </w:r>
          </w:p>
        </w:tc>
        <w:tc>
          <w:tcPr>
            <w:tcW w:type="dxa" w:w="1728"/>
          </w:tcPr>
          <w:p>
            <w:r>
              <w:rPr>
                <w:rFonts w:ascii="Calibri" w:hAnsi="Calibri"/>
                <w:sz w:val="22"/>
              </w:rPr>
              <w:t>Q1 Earnings, May 8</w:t>
            </w:r>
          </w:p>
        </w:tc>
        <w:tc>
          <w:tcPr>
            <w:tcW w:type="dxa" w:w="1728"/>
          </w:tcPr>
          <w:p>
            <w:r>
              <w:rPr>
                <w:rFonts w:ascii="Calibri" w:hAnsi="Calibri"/>
                <w:sz w:val="22"/>
              </w:rPr>
              <w:t>Capital markets ACV +45% YoY; banking budgets at record levels</w:t>
            </w:r>
          </w:p>
        </w:tc>
        <w:tc>
          <w:tcPr>
            <w:tcW w:type="dxa" w:w="1728"/>
          </w:tcPr>
          <w:p>
            <w:r>
              <w:rPr>
                <w:rFonts w:ascii="Calibri" w:hAnsi="Calibri"/>
                <w:sz w:val="22"/>
              </w:rPr>
              <w:t>Positive for GTO capital markets pipeline and deal conversion</w:t>
            </w:r>
          </w:p>
        </w:tc>
        <w:tc>
          <w:tcPr>
            <w:tcW w:type="dxa" w:w="1728"/>
          </w:tcPr>
          <w:p>
            <w:r>
              <w:rPr>
                <w:rFonts w:ascii="Calibri" w:hAnsi="Calibri"/>
                <w:b/>
                <w:color w:val="30A46C"/>
                <w:sz w:val="22"/>
              </w:rPr>
              <w:t>Positive</w:t>
            </w:r>
          </w:p>
        </w:tc>
      </w:tr>
      <w:tr>
        <w:tc>
          <w:tcPr>
            <w:tcW w:type="dxa" w:w="1728"/>
          </w:tcPr>
          <w:p>
            <w:r>
              <w:rPr>
                <w:rFonts w:ascii="Calibri" w:hAnsi="Calibri"/>
                <w:sz w:val="22"/>
              </w:rPr>
              <w:t>FIS</w:t>
            </w:r>
          </w:p>
        </w:tc>
        <w:tc>
          <w:tcPr>
            <w:tcW w:type="dxa" w:w="1728"/>
          </w:tcPr>
          <w:p>
            <w:r>
              <w:rPr>
                <w:rFonts w:ascii="Calibri" w:hAnsi="Calibri"/>
                <w:sz w:val="22"/>
              </w:rPr>
              <w:t>Mizuho Conference, Jun 9</w:t>
            </w:r>
          </w:p>
        </w:tc>
        <w:tc>
          <w:tcPr>
            <w:tcW w:type="dxa" w:w="1728"/>
          </w:tcPr>
          <w:p>
            <w:r>
              <w:rPr>
                <w:rFonts w:ascii="Calibri" w:hAnsi="Calibri"/>
                <w:sz w:val="22"/>
              </w:rPr>
              <w:t>Banking at “generational moment”; M&amp;A at record levels; AI spend quadrupling</w:t>
            </w:r>
          </w:p>
        </w:tc>
        <w:tc>
          <w:tcPr>
            <w:tcW w:type="dxa" w:w="1728"/>
          </w:tcPr>
          <w:p>
            <w:r>
              <w:rPr>
                <w:rFonts w:ascii="Calibri" w:hAnsi="Calibri"/>
                <w:sz w:val="22"/>
              </w:rPr>
              <w:t>Positive for ICS position growth (M&amp;A) and GTO AI managed service opportunity</w:t>
            </w:r>
          </w:p>
        </w:tc>
        <w:tc>
          <w:tcPr>
            <w:tcW w:type="dxa" w:w="1728"/>
          </w:tcPr>
          <w:p>
            <w:r>
              <w:rPr>
                <w:rFonts w:ascii="Calibri" w:hAnsi="Calibri"/>
                <w:b/>
                <w:color w:val="30A46C"/>
                <w:sz w:val="22"/>
              </w:rPr>
              <w:t>Positive</w:t>
            </w:r>
          </w:p>
        </w:tc>
      </w:tr>
      <w:tr>
        <w:tc>
          <w:tcPr>
            <w:tcW w:type="dxa" w:w="1728"/>
          </w:tcPr>
          <w:p>
            <w:r>
              <w:rPr>
                <w:rFonts w:ascii="Calibri" w:hAnsi="Calibri"/>
                <w:sz w:val="22"/>
              </w:rPr>
              <w:t>JKHY</w:t>
            </w:r>
          </w:p>
        </w:tc>
        <w:tc>
          <w:tcPr>
            <w:tcW w:type="dxa" w:w="1728"/>
          </w:tcPr>
          <w:p>
            <w:r>
              <w:rPr>
                <w:rFonts w:ascii="Calibri" w:hAnsi="Calibri"/>
                <w:sz w:val="22"/>
              </w:rPr>
              <w:t>Q3 Earnings, May 6</w:t>
            </w:r>
          </w:p>
        </w:tc>
        <w:tc>
          <w:tcPr>
            <w:tcW w:type="dxa" w:w="1728"/>
          </w:tcPr>
          <w:p>
            <w:r>
              <w:rPr>
                <w:rFonts w:ascii="Calibri" w:hAnsi="Calibri"/>
                <w:sz w:val="22"/>
              </w:rPr>
              <w:t>88% of banks increasing tech budgets; deal cycles longer for larger deals</w:t>
            </w:r>
          </w:p>
        </w:tc>
        <w:tc>
          <w:tcPr>
            <w:tcW w:type="dxa" w:w="1728"/>
          </w:tcPr>
          <w:p>
            <w:r>
              <w:rPr>
                <w:rFonts w:ascii="Calibri" w:hAnsi="Calibri"/>
                <w:sz w:val="22"/>
              </w:rPr>
              <w:t>Validates BR closed sales timing narrative; positive for GTO wealth pipeline</w:t>
            </w:r>
          </w:p>
        </w:tc>
        <w:tc>
          <w:tcPr>
            <w:tcW w:type="dxa" w:w="1728"/>
          </w:tcPr>
          <w:p>
            <w:r>
              <w:rPr>
                <w:rFonts w:ascii="Calibri" w:hAnsi="Calibri"/>
                <w:b/>
                <w:color w:val="002FA7"/>
                <w:sz w:val="22"/>
              </w:rPr>
              <w:t>Mixed</w:t>
            </w:r>
          </w:p>
        </w:tc>
      </w:tr>
      <w:tr>
        <w:tc>
          <w:tcPr>
            <w:tcW w:type="dxa" w:w="1728"/>
          </w:tcPr>
          <w:p>
            <w:r>
              <w:rPr>
                <w:rFonts w:ascii="Calibri" w:hAnsi="Calibri"/>
                <w:sz w:val="22"/>
              </w:rPr>
              <w:t>JKHY</w:t>
            </w:r>
          </w:p>
        </w:tc>
        <w:tc>
          <w:tcPr>
            <w:tcW w:type="dxa" w:w="1728"/>
          </w:tcPr>
          <w:p>
            <w:r>
              <w:rPr>
                <w:rFonts w:ascii="Calibri" w:hAnsi="Calibri"/>
                <w:sz w:val="22"/>
              </w:rPr>
              <w:t>RBC Conference, Jun 9</w:t>
            </w:r>
          </w:p>
        </w:tc>
        <w:tc>
          <w:tcPr>
            <w:tcW w:type="dxa" w:w="1728"/>
          </w:tcPr>
          <w:p>
            <w:r>
              <w:rPr>
                <w:rFonts w:ascii="Calibri" w:hAnsi="Calibri"/>
                <w:sz w:val="22"/>
              </w:rPr>
              <w:t>Pipeline at highest level in recent years; 60% of wins are trifecta (core+digital+card)</w:t>
            </w:r>
          </w:p>
        </w:tc>
        <w:tc>
          <w:tcPr>
            <w:tcW w:type="dxa" w:w="1728"/>
          </w:tcPr>
          <w:p>
            <w:r>
              <w:rPr>
                <w:rFonts w:ascii="Calibri" w:hAnsi="Calibri"/>
                <w:sz w:val="22"/>
              </w:rPr>
              <w:t>Positive for BR GTO wealth platform pipeline conversion</w:t>
            </w:r>
          </w:p>
        </w:tc>
        <w:tc>
          <w:tcPr>
            <w:tcW w:type="dxa" w:w="1728"/>
          </w:tcPr>
          <w:p>
            <w:r>
              <w:rPr>
                <w:rFonts w:ascii="Calibri" w:hAnsi="Calibri"/>
                <w:b/>
                <w:color w:val="30A46C"/>
                <w:sz w:val="22"/>
              </w:rPr>
              <w:t>Positive</w:t>
            </w:r>
          </w:p>
        </w:tc>
      </w:tr>
      <w:tr>
        <w:tc>
          <w:tcPr>
            <w:tcW w:type="dxa" w:w="1728"/>
          </w:tcPr>
          <w:p>
            <w:r>
              <w:rPr>
                <w:rFonts w:ascii="Calibri" w:hAnsi="Calibri"/>
                <w:sz w:val="22"/>
              </w:rPr>
              <w:t>STT</w:t>
            </w:r>
          </w:p>
        </w:tc>
        <w:tc>
          <w:tcPr>
            <w:tcW w:type="dxa" w:w="1728"/>
          </w:tcPr>
          <w:p>
            <w:r>
              <w:rPr>
                <w:rFonts w:ascii="Calibri" w:hAnsi="Calibri"/>
                <w:sz w:val="22"/>
              </w:rPr>
              <w:t>Q2 Earnings, Jul 16</w:t>
            </w:r>
          </w:p>
        </w:tc>
        <w:tc>
          <w:tcPr>
            <w:tcW w:type="dxa" w:w="1728"/>
          </w:tcPr>
          <w:p>
            <w:r>
              <w:rPr>
                <w:rFonts w:ascii="Calibri" w:hAnsi="Calibri"/>
                <w:sz w:val="22"/>
              </w:rPr>
              <w:t>AUC record $57.9T (+18%); fee revenue guidance raised to 12–13%</w:t>
            </w:r>
          </w:p>
        </w:tc>
        <w:tc>
          <w:tcPr>
            <w:tcW w:type="dxa" w:w="1728"/>
          </w:tcPr>
          <w:p>
            <w:r>
              <w:rPr>
                <w:rFonts w:ascii="Calibri" w:hAnsi="Calibri"/>
                <w:sz w:val="22"/>
              </w:rPr>
              <w:t>Positive for ICS fund/equity position growth and event-driven revenue</w:t>
            </w:r>
          </w:p>
        </w:tc>
        <w:tc>
          <w:tcPr>
            <w:tcW w:type="dxa" w:w="1728"/>
          </w:tcPr>
          <w:p>
            <w:r>
              <w:rPr>
                <w:rFonts w:ascii="Calibri" w:hAnsi="Calibri"/>
                <w:b/>
                <w:color w:val="30A46C"/>
                <w:sz w:val="22"/>
              </w:rPr>
              <w:t>Positive</w:t>
            </w:r>
          </w:p>
        </w:tc>
      </w:tr>
      <w:tr>
        <w:tc>
          <w:tcPr>
            <w:tcW w:type="dxa" w:w="1728"/>
          </w:tcPr>
          <w:p>
            <w:r>
              <w:rPr>
                <w:rFonts w:ascii="Calibri" w:hAnsi="Calibri"/>
                <w:sz w:val="22"/>
              </w:rPr>
              <w:t>STT</w:t>
            </w:r>
          </w:p>
        </w:tc>
        <w:tc>
          <w:tcPr>
            <w:tcW w:type="dxa" w:w="1728"/>
          </w:tcPr>
          <w:p>
            <w:r>
              <w:rPr>
                <w:rFonts w:ascii="Calibri" w:hAnsi="Calibri"/>
                <w:sz w:val="22"/>
              </w:rPr>
              <w:t>Q2 Earnings, Jul 16</w:t>
            </w:r>
          </w:p>
        </w:tc>
        <w:tc>
          <w:tcPr>
            <w:tcW w:type="dxa" w:w="1728"/>
          </w:tcPr>
          <w:p>
            <w:r>
              <w:rPr>
                <w:rFonts w:ascii="Calibri" w:hAnsi="Calibri"/>
                <w:sz w:val="22"/>
              </w:rPr>
              <w:t>Tokenized fund servicing announced; stablecoin reserves fund launched</w:t>
            </w:r>
          </w:p>
        </w:tc>
        <w:tc>
          <w:tcPr>
            <w:tcW w:type="dxa" w:w="1728"/>
          </w:tcPr>
          <w:p>
            <w:r>
              <w:rPr>
                <w:rFonts w:ascii="Calibri" w:hAnsi="Calibri"/>
                <w:sz w:val="22"/>
              </w:rPr>
              <w:t>Validates BR tokenized equities governance opportunity; STT likely early client</w:t>
            </w:r>
          </w:p>
        </w:tc>
        <w:tc>
          <w:tcPr>
            <w:tcW w:type="dxa" w:w="1728"/>
          </w:tcPr>
          <w:p>
            <w:r>
              <w:rPr>
                <w:rFonts w:ascii="Calibri" w:hAnsi="Calibri"/>
                <w:b/>
                <w:color w:val="30A46C"/>
                <w:sz w:val="22"/>
              </w:rPr>
              <w:t>Positive</w:t>
            </w:r>
          </w:p>
        </w:tc>
      </w:tr>
      <w:tr>
        <w:tc>
          <w:tcPr>
            <w:tcW w:type="dxa" w:w="1728"/>
          </w:tcPr>
          <w:p>
            <w:r>
              <w:rPr>
                <w:rFonts w:ascii="Calibri" w:hAnsi="Calibri"/>
                <w:sz w:val="22"/>
              </w:rPr>
              <w:t>FI</w:t>
            </w:r>
          </w:p>
        </w:tc>
        <w:tc>
          <w:tcPr>
            <w:tcW w:type="dxa" w:w="1728"/>
          </w:tcPr>
          <w:p>
            <w:r>
              <w:rPr>
                <w:rFonts w:ascii="Calibri" w:hAnsi="Calibri"/>
                <w:sz w:val="22"/>
              </w:rPr>
              <w:t>Q1 Earnings, May 5</w:t>
            </w:r>
          </w:p>
        </w:tc>
        <w:tc>
          <w:tcPr>
            <w:tcW w:type="dxa" w:w="1728"/>
          </w:tcPr>
          <w:p>
            <w:r>
              <w:rPr>
                <w:rFonts w:ascii="Calibri" w:hAnsi="Calibri"/>
                <w:sz w:val="22"/>
              </w:rPr>
              <w:t>Stablecoin pilot summer 2026; Project Keystone tokenized deposits with 5 banks</w:t>
            </w:r>
          </w:p>
        </w:tc>
        <w:tc>
          <w:tcPr>
            <w:tcW w:type="dxa" w:w="1728"/>
          </w:tcPr>
          <w:p>
            <w:r>
              <w:rPr>
                <w:rFonts w:ascii="Calibri" w:hAnsi="Calibri"/>
                <w:sz w:val="22"/>
              </w:rPr>
              <w:t>Validates digital asset infrastructure buildout; positive for BR’s tokenization TAM</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Q3 earnings. The only notable transaction is a </w:t>
      </w:r>
      <w:r>
        <w:rPr>
          <w:rFonts w:ascii="Calibri" w:hAnsi="Calibri"/>
          <w:b/>
          <w:color w:val="525866"/>
          <w:sz w:val="22"/>
        </w:rPr>
        <w:t>single open-market sale by Chief Legal Officer Hope Jarkowski (June 4, 2026)</w:t>
      </w:r>
      <w:r>
        <w:rPr>
          <w:rFonts w:ascii="Calibri" w:hAnsi="Calibri"/>
          <w:color w:val="525866"/>
          <w:sz w:val="22"/>
        </w:rPr>
        <w:t xml:space="preserve"> — a small, likely tax-driven disposition. Director equity awards in June and July are routine compensation grants, not market signals. Overall, the insider picture is </w:t>
      </w:r>
      <w:r>
        <w:rPr>
          <w:rFonts w:ascii="Calibri" w:hAnsi="Calibri"/>
          <w:b/>
          <w:color w:val="525866"/>
          <w:sz w:val="22"/>
        </w:rPr>
        <w:t>neutral</w:t>
      </w:r>
      <w:r>
        <w:rPr>
          <w:rFonts w:ascii="Calibri" w:hAnsi="Calibri"/>
          <w:color w:val="525866"/>
          <w:sz w:val="22"/>
        </w:rPr>
        <w:t xml:space="preserve"> — no clustered buys or unusual sale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Jarkowski, Hope M.</w:t>
            </w:r>
          </w:p>
        </w:tc>
        <w:tc>
          <w:tcPr>
            <w:tcW w:type="dxa" w:w="1440"/>
          </w:tcPr>
          <w:p>
            <w:r>
              <w:rPr>
                <w:rFonts w:ascii="Calibri" w:hAnsi="Calibri"/>
                <w:sz w:val="22"/>
              </w:rPr>
              <w:t>Chief Legal Officer</w:t>
            </w:r>
          </w:p>
        </w:tc>
        <w:tc>
          <w:tcPr>
            <w:tcW w:type="dxa" w:w="1440"/>
          </w:tcPr>
          <w:p>
            <w:r>
              <w:rPr>
                <w:rFonts w:ascii="Calibri" w:hAnsi="Calibri"/>
                <w:sz w:val="22"/>
              </w:rPr>
              <w:t>Open Market Sale</w:t>
            </w:r>
          </w:p>
        </w:tc>
        <w:tc>
          <w:tcPr>
            <w:tcW w:type="dxa" w:w="1440"/>
          </w:tcPr>
          <w:p>
            <w:r>
              <w:rPr>
                <w:rFonts w:ascii="Calibri" w:hAnsi="Calibri"/>
                <w:sz w:val="22"/>
              </w:rPr>
              <w:t>1,966 shares</w:t>
            </w:r>
          </w:p>
        </w:tc>
        <w:tc>
          <w:tcPr>
            <w:tcW w:type="dxa" w:w="1440"/>
          </w:tcPr>
          <w:p>
            <w:r>
              <w:rPr>
                <w:rFonts w:ascii="Calibri" w:hAnsi="Calibri"/>
                <w:sz w:val="22"/>
              </w:rPr>
              <w:t>Jun 4, 2026</w:t>
            </w:r>
          </w:p>
        </w:tc>
        <w:tc>
          <w:tcPr>
            <w:tcW w:type="dxa" w:w="1440"/>
          </w:tcPr>
          <w:p>
            <w:r>
              <w:rPr>
                <w:rFonts w:ascii="Calibri" w:hAnsi="Calibri"/>
                <w:sz w:val="22"/>
              </w:rPr>
              <w:t>Discretionary sale; left 1.25 shares remaining — likely tax withholding or estate planning. Small size, not a signal.</w:t>
            </w:r>
          </w:p>
        </w:tc>
      </w:tr>
      <w:tr>
        <w:tc>
          <w:tcPr>
            <w:tcW w:type="dxa" w:w="1440"/>
          </w:tcPr>
          <w:p>
            <w:r>
              <w:rPr>
                <w:rFonts w:ascii="Calibri" w:hAnsi="Calibri"/>
                <w:sz w:val="22"/>
              </w:rPr>
              <w:t>Ghei, Ashima</w:t>
            </w:r>
          </w:p>
        </w:tc>
        <w:tc>
          <w:tcPr>
            <w:tcW w:type="dxa" w:w="1440"/>
          </w:tcPr>
          <w:p>
            <w:r>
              <w:rPr>
                <w:rFonts w:ascii="Calibri" w:hAnsi="Calibri"/>
                <w:sz w:val="22"/>
              </w:rPr>
              <w:t>CFO</w:t>
            </w:r>
          </w:p>
        </w:tc>
        <w:tc>
          <w:tcPr>
            <w:tcW w:type="dxa" w:w="1440"/>
          </w:tcPr>
          <w:p>
            <w:r>
              <w:rPr>
                <w:rFonts w:ascii="Calibri" w:hAnsi="Calibri"/>
                <w:sz w:val="22"/>
              </w:rPr>
              <w:t>RSU Vesting (M) + Tax Withholding (F)</w:t>
            </w:r>
          </w:p>
        </w:tc>
        <w:tc>
          <w:tcPr>
            <w:tcW w:type="dxa" w:w="1440"/>
          </w:tcPr>
          <w:p>
            <w:r>
              <w:rPr>
                <w:rFonts w:ascii="Calibri" w:hAnsi="Calibri"/>
                <w:sz w:val="22"/>
              </w:rPr>
              <w:t>2,509 vested; 905 withheld for taxes</w:t>
            </w:r>
          </w:p>
        </w:tc>
        <w:tc>
          <w:tcPr>
            <w:tcW w:type="dxa" w:w="1440"/>
          </w:tcPr>
          <w:p>
            <w:r>
              <w:rPr>
                <w:rFonts w:ascii="Calibri" w:hAnsi="Calibri"/>
                <w:sz w:val="22"/>
              </w:rPr>
              <w:t>Jun 27, 2026</w:t>
            </w:r>
          </w:p>
        </w:tc>
        <w:tc>
          <w:tcPr>
            <w:tcW w:type="dxa" w:w="1440"/>
          </w:tcPr>
          <w:p>
            <w:r>
              <w:rPr>
                <w:rFonts w:ascii="Calibri" w:hAnsi="Calibri"/>
                <w:sz w:val="22"/>
              </w:rPr>
              <w:t>FY2024 RSU grant vesting. Tax withholding sale (code F) is obligation-driven, not discretionary. Net 1,604 shares acquired.</w:t>
            </w:r>
          </w:p>
        </w:tc>
      </w:tr>
      <w:tr>
        <w:tc>
          <w:tcPr>
            <w:tcW w:type="dxa" w:w="1440"/>
          </w:tcPr>
          <w:p>
            <w:r>
              <w:rPr>
                <w:rFonts w:ascii="Calibri" w:hAnsi="Calibri"/>
                <w:sz w:val="22"/>
              </w:rPr>
              <w:t>Markus, Maura A.</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239 shares (Jun 10); 134 shares (Jul 2)</w:t>
            </w:r>
          </w:p>
        </w:tc>
        <w:tc>
          <w:tcPr>
            <w:tcW w:type="dxa" w:w="1440"/>
          </w:tcPr>
          <w:p>
            <w:r>
              <w:rPr>
                <w:rFonts w:ascii="Calibri" w:hAnsi="Calibri"/>
                <w:sz w:val="22"/>
              </w:rPr>
              <w:t>Jun 10 &amp; Jul 2, 2026</w:t>
            </w:r>
          </w:p>
        </w:tc>
        <w:tc>
          <w:tcPr>
            <w:tcW w:type="dxa" w:w="1440"/>
          </w:tcPr>
          <w:p>
            <w:r>
              <w:rPr>
                <w:rFonts w:ascii="Calibri" w:hAnsi="Calibri"/>
                <w:sz w:val="22"/>
              </w:rPr>
              <w:t>Routine director compensation grants. Not open-market purchases.</w:t>
            </w:r>
          </w:p>
        </w:tc>
      </w:tr>
      <w:tr>
        <w:tc>
          <w:tcPr>
            <w:tcW w:type="dxa" w:w="1440"/>
          </w:tcPr>
          <w:p>
            <w:r>
              <w:rPr>
                <w:rFonts w:ascii="Calibri" w:hAnsi="Calibri"/>
                <w:sz w:val="22"/>
              </w:rPr>
              <w:t>Murray, Eileen K.</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445 shares (Jun 10); 38 shares (Jul 2)</w:t>
            </w:r>
          </w:p>
        </w:tc>
        <w:tc>
          <w:tcPr>
            <w:tcW w:type="dxa" w:w="1440"/>
          </w:tcPr>
          <w:p>
            <w:r>
              <w:rPr>
                <w:rFonts w:ascii="Calibri" w:hAnsi="Calibri"/>
                <w:sz w:val="22"/>
              </w:rPr>
              <w:t>Jun 10 &amp; Jul 2, 2026</w:t>
            </w:r>
          </w:p>
        </w:tc>
        <w:tc>
          <w:tcPr>
            <w:tcW w:type="dxa" w:w="1440"/>
          </w:tcPr>
          <w:p>
            <w:r>
              <w:rPr>
                <w:rFonts w:ascii="Calibri" w:hAnsi="Calibri"/>
                <w:sz w:val="22"/>
              </w:rPr>
              <w:t>Routine director compensation grants. Not open-market purchases.</w:t>
            </w:r>
          </w:p>
        </w:tc>
      </w:tr>
      <w:tr>
        <w:tc>
          <w:tcPr>
            <w:tcW w:type="dxa" w:w="1440"/>
          </w:tcPr>
          <w:p>
            <w:r>
              <w:rPr>
                <w:rFonts w:ascii="Calibri" w:hAnsi="Calibri"/>
                <w:sz w:val="22"/>
              </w:rPr>
              <w:t>Nazareth, Annette L.</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206 shares (Jun 10); 39 shares (Jul 2)</w:t>
            </w:r>
          </w:p>
        </w:tc>
        <w:tc>
          <w:tcPr>
            <w:tcW w:type="dxa" w:w="1440"/>
          </w:tcPr>
          <w:p>
            <w:r>
              <w:rPr>
                <w:rFonts w:ascii="Calibri" w:hAnsi="Calibri"/>
                <w:sz w:val="22"/>
              </w:rPr>
              <w:t>Jun 10 &amp; Jul 2, 2026</w:t>
            </w:r>
          </w:p>
        </w:tc>
        <w:tc>
          <w:tcPr>
            <w:tcW w:type="dxa" w:w="1440"/>
          </w:tcPr>
          <w:p>
            <w:r>
              <w:rPr>
                <w:rFonts w:ascii="Calibri" w:hAnsi="Calibri"/>
                <w:sz w:val="22"/>
              </w:rPr>
              <w:t>Routine director compensation grants. Not open-market purchases.</w:t>
            </w:r>
          </w:p>
        </w:tc>
      </w:tr>
      <w:tr>
        <w:tc>
          <w:tcPr>
            <w:tcW w:type="dxa" w:w="1440"/>
          </w:tcPr>
          <w:p>
            <w:r>
              <w:rPr>
                <w:rFonts w:ascii="Calibri" w:hAnsi="Calibri"/>
                <w:sz w:val="22"/>
              </w:rPr>
              <w:t>Zavery, Amit</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206 shares (Jun 10); 60 shares (Jul 2)</w:t>
            </w:r>
          </w:p>
        </w:tc>
        <w:tc>
          <w:tcPr>
            <w:tcW w:type="dxa" w:w="1440"/>
          </w:tcPr>
          <w:p>
            <w:r>
              <w:rPr>
                <w:rFonts w:ascii="Calibri" w:hAnsi="Calibri"/>
                <w:sz w:val="22"/>
              </w:rPr>
              <w:t>Jun 10 &amp; Jul 2, 2026</w:t>
            </w:r>
          </w:p>
        </w:tc>
        <w:tc>
          <w:tcPr>
            <w:tcW w:type="dxa" w:w="1440"/>
          </w:tcPr>
          <w:p>
            <w:r>
              <w:rPr>
                <w:rFonts w:ascii="Calibri" w:hAnsi="Calibri"/>
                <w:sz w:val="22"/>
              </w:rPr>
              <w:t>Routine director compensation grants. Not open-market purchases.</w:t>
            </w:r>
          </w:p>
        </w:tc>
      </w:tr>
      <w:tr>
        <w:tc>
          <w:tcPr>
            <w:tcW w:type="dxa" w:w="1440"/>
          </w:tcPr>
          <w:p>
            <w:r>
              <w:rPr>
                <w:rFonts w:ascii="Calibri" w:hAnsi="Calibri"/>
                <w:sz w:val="22"/>
              </w:rPr>
              <w:t>Mosconi, Patricia Ann</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206 shares (Jun 10); 3 shares (Jul 2)</w:t>
            </w:r>
          </w:p>
        </w:tc>
        <w:tc>
          <w:tcPr>
            <w:tcW w:type="dxa" w:w="1440"/>
          </w:tcPr>
          <w:p>
            <w:r>
              <w:rPr>
                <w:rFonts w:ascii="Calibri" w:hAnsi="Calibri"/>
                <w:sz w:val="22"/>
              </w:rPr>
              <w:t>Jun 10 &amp; Jul 2, 2026</w:t>
            </w:r>
          </w:p>
        </w:tc>
        <w:tc>
          <w:tcPr>
            <w:tcW w:type="dxa" w:w="1440"/>
          </w:tcPr>
          <w:p>
            <w:r>
              <w:rPr>
                <w:rFonts w:ascii="Calibri" w:hAnsi="Calibri"/>
                <w:sz w:val="22"/>
              </w:rPr>
              <w:t>Routine director compensation grants. Not open-market purchases.</w:t>
            </w:r>
          </w:p>
        </w:tc>
      </w:tr>
      <w:tr>
        <w:tc>
          <w:tcPr>
            <w:tcW w:type="dxa" w:w="1440"/>
          </w:tcPr>
          <w:p>
            <w:r>
              <w:rPr>
                <w:rFonts w:ascii="Calibri" w:hAnsi="Calibri"/>
                <w:sz w:val="22"/>
              </w:rPr>
              <w:t>Duelks, Robert N.</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143 shares (Jul 2)</w:t>
            </w:r>
          </w:p>
        </w:tc>
        <w:tc>
          <w:tcPr>
            <w:tcW w:type="dxa" w:w="1440"/>
          </w:tcPr>
          <w:p>
            <w:r>
              <w:rPr>
                <w:rFonts w:ascii="Calibri" w:hAnsi="Calibri"/>
                <w:sz w:val="22"/>
              </w:rPr>
              <w:t>Jul 2, 2026</w:t>
            </w:r>
          </w:p>
        </w:tc>
        <w:tc>
          <w:tcPr>
            <w:tcW w:type="dxa" w:w="1440"/>
          </w:tcPr>
          <w:p>
            <w:r>
              <w:rPr>
                <w:rFonts w:ascii="Calibri" w:hAnsi="Calibri"/>
                <w:sz w:val="22"/>
              </w:rPr>
              <w:t>Routine director compensation grant. Not open-market purchase.</w:t>
            </w:r>
          </w:p>
        </w:tc>
      </w:tr>
      <w:tr>
        <w:tc>
          <w:tcPr>
            <w:tcW w:type="dxa" w:w="1440"/>
          </w:tcPr>
          <w:p>
            <w:r>
              <w:rPr>
                <w:rFonts w:ascii="Calibri" w:hAnsi="Calibri"/>
                <w:sz w:val="22"/>
              </w:rPr>
              <w:t>Flowers, Melvin L.</w:t>
            </w:r>
          </w:p>
        </w:tc>
        <w:tc>
          <w:tcPr>
            <w:tcW w:type="dxa" w:w="1440"/>
          </w:tcPr>
          <w:p>
            <w:r>
              <w:rPr>
                <w:rFonts w:ascii="Calibri" w:hAnsi="Calibri"/>
                <w:sz w:val="22"/>
              </w:rPr>
              <w:t>Director</w:t>
            </w:r>
          </w:p>
        </w:tc>
        <w:tc>
          <w:tcPr>
            <w:tcW w:type="dxa" w:w="1440"/>
          </w:tcPr>
          <w:p>
            <w:r>
              <w:rPr>
                <w:rFonts w:ascii="Calibri" w:hAnsi="Calibri"/>
                <w:sz w:val="22"/>
              </w:rPr>
              <w:t>Director Equity Award (A)</w:t>
            </w:r>
          </w:p>
        </w:tc>
        <w:tc>
          <w:tcPr>
            <w:tcW w:type="dxa" w:w="1440"/>
          </w:tcPr>
          <w:p>
            <w:r>
              <w:rPr>
                <w:rFonts w:ascii="Calibri" w:hAnsi="Calibri"/>
                <w:sz w:val="22"/>
              </w:rPr>
              <w:t>18 shares (Jul 2)</w:t>
            </w:r>
          </w:p>
        </w:tc>
        <w:tc>
          <w:tcPr>
            <w:tcW w:type="dxa" w:w="1440"/>
          </w:tcPr>
          <w:p>
            <w:r>
              <w:rPr>
                <w:rFonts w:ascii="Calibri" w:hAnsi="Calibri"/>
                <w:sz w:val="22"/>
              </w:rPr>
              <w:t>Jul 2, 2026</w:t>
            </w:r>
          </w:p>
        </w:tc>
        <w:tc>
          <w:tcPr>
            <w:tcW w:type="dxa" w:w="1440"/>
          </w:tcPr>
          <w:p>
            <w:r>
              <w:rPr>
                <w:rFonts w:ascii="Calibri" w:hAnsi="Calibri"/>
                <w:sz w:val="22"/>
              </w:rPr>
              <w:t>Routine director compensation grant. Not open-market purchase.</w:t>
            </w:r>
          </w:p>
        </w:tc>
      </w:tr>
    </w:tbl>
    <w:p>
      <w:r>
        <w:rPr>
          <w:rFonts w:ascii="Calibri" w:hAnsi="Calibri"/>
          <w:color w:val="525866"/>
          <w:sz w:val="22"/>
        </w:rPr>
        <w:t>Source: Insider Transaction Data (SEC Form 4 filings). Open-market transactions only (codes P/S) plus RSU vesting events. All director equity awards (code A) are routine compensation grants and are not open-market purchases. The CFO’s tax withholding sale (code F) is obligation-driven. No clustered open-market buys or unusual discretionary sales were identified in the period since Q3 earnings (April 30, 2026).</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