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Broadridge Financial Solutions (BR) — Q4 FY2026 Earnings Preview</w:t>
      </w:r>
    </w:p>
    <w:p>
      <w:r>
        <w:rPr>
          <w:rFonts w:ascii="Calibri" w:hAnsi="Calibri"/>
          <w:b/>
          <w:color w:val="525866"/>
          <w:sz w:val="22"/>
        </w:rPr>
        <w:t xml:space="preserve">Ticker: </w:t>
      </w:r>
      <w:r>
        <w:rPr>
          <w:rFonts w:ascii="Calibri" w:hAnsi="Calibri"/>
          <w:color w:val="525866"/>
          <w:sz w:val="22"/>
        </w:rPr>
        <w:t xml:space="preserve">BR  </w:t>
      </w:r>
      <w:r>
        <w:rPr>
          <w:rFonts w:ascii="Calibri" w:hAnsi="Calibri"/>
          <w:b/>
          <w:color w:val="525866"/>
          <w:sz w:val="22"/>
        </w:rPr>
        <w:t xml:space="preserve">Earnings Date: </w:t>
      </w:r>
      <w:r>
        <w:rPr>
          <w:rFonts w:ascii="Calibri" w:hAnsi="Calibri"/>
          <w:color w:val="525866"/>
          <w:sz w:val="22"/>
        </w:rPr>
        <w:t xml:space="preserve">August 4, 2026  </w:t>
      </w:r>
      <w:r>
        <w:rPr>
          <w:rFonts w:ascii="Calibri" w:hAnsi="Calibri"/>
          <w:b/>
          <w:color w:val="525866"/>
          <w:sz w:val="22"/>
        </w:rPr>
        <w:t xml:space="preserve">Prepared: </w:t>
      </w:r>
      <w:r>
        <w:rPr>
          <w:rFonts w:ascii="Calibri" w:hAnsi="Calibri"/>
          <w:color w:val="525866"/>
          <w:sz w:val="22"/>
        </w:rPr>
        <w:t xml:space="preserve">August 4, 2026  </w:t>
      </w:r>
      <w:r>
        <w:rPr>
          <w:rFonts w:ascii="Calibri" w:hAnsi="Calibri"/>
          <w:b/>
          <w:color w:val="525866"/>
          <w:sz w:val="22"/>
        </w:rPr>
        <w:t xml:space="preserve">Fiscal Period: </w:t>
      </w:r>
      <w:r>
        <w:rPr>
          <w:rFonts w:ascii="Calibri" w:hAnsi="Calibri"/>
          <w:color w:val="525866"/>
          <w:sz w:val="22"/>
        </w:rPr>
        <w:t>Q4 FY2026 (quarter ended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Q4 FY2026 is constructive — management raised both recurring revenue and EPS guidance at the Q3 print — but the </w:t>
      </w:r>
      <w:r>
        <w:rPr>
          <w:rFonts w:ascii="Calibri" w:hAnsi="Calibri"/>
          <w:b/>
          <w:color w:val="525866"/>
          <w:sz w:val="22"/>
        </w:rPr>
        <w:t>closed sales shortfall</w:t>
      </w:r>
      <w:r>
        <w:rPr>
          <w:rFonts w:ascii="Calibri" w:hAnsi="Calibri"/>
          <w:color w:val="525866"/>
          <w:sz w:val="22"/>
        </w:rPr>
        <w:t xml:space="preserve"> and a known GTO headwind (Canton minting curve shift + license timing) keep the bar from being unambiguously low; the biggest swing factor is whether </w:t>
      </w:r>
      <w:r>
        <w:rPr>
          <w:rFonts w:ascii="Calibri" w:hAnsi="Calibri"/>
          <w:b/>
          <w:color w:val="525866"/>
          <w:sz w:val="22"/>
        </w:rPr>
        <w:t>ICS regulatory revenue</w:t>
      </w:r>
      <w:r>
        <w:rPr>
          <w:rFonts w:ascii="Calibri" w:hAnsi="Calibri"/>
          <w:color w:val="525866"/>
          <w:sz w:val="22"/>
        </w:rPr>
        <w:t xml:space="preserve"> and equity position growth land at the high end of guidance.</w:t>
      </w:r>
    </w:p>
    <w:p>
      <w:r>
        <w:rPr>
          <w:rFonts w:ascii="Calibri" w:hAnsi="Calibri"/>
          <w:color w:val="525866"/>
          <w:sz w:val="22"/>
        </w:rPr>
        <w:t xml:space="preserve">Heading into Q4 FY2026, Broadridge carries raised full-year guidance — recurring revenue growth "at or above 7%" constant currency and adjusted EPS growth of 10–12% — after a Q3 beat on both revenue and EPS, giving the print a credible setup. Management explicitly guided for </w:t>
      </w:r>
      <w:r>
        <w:rPr>
          <w:rFonts w:ascii="Calibri" w:hAnsi="Calibri"/>
          <w:b/>
          <w:color w:val="525866"/>
          <w:sz w:val="22"/>
        </w:rPr>
        <w:t>low double-digit equity revenue position growth</w:t>
      </w:r>
      <w:r>
        <w:rPr>
          <w:rFonts w:ascii="Calibri" w:hAnsi="Calibri"/>
          <w:color w:val="525866"/>
          <w:sz w:val="22"/>
        </w:rPr>
        <w:t xml:space="preserve"> and </w:t>
      </w:r>
      <w:r>
        <w:rPr>
          <w:rFonts w:ascii="Calibri" w:hAnsi="Calibri"/>
          <w:b/>
          <w:color w:val="525866"/>
          <w:sz w:val="22"/>
        </w:rPr>
        <w:t>mid-to-high single-digit fund position growth</w:t>
      </w:r>
      <w:r>
        <w:rPr>
          <w:rFonts w:ascii="Calibri" w:hAnsi="Calibri"/>
          <w:color w:val="525866"/>
          <w:sz w:val="22"/>
        </w:rPr>
        <w:t xml:space="preserve"> in Q4, which should drive another quarter of high single-digit ICS regulatory revenue growth; consensus sits at ~$2.16B in revenue and ~$3.77 in adjusted EPS, implying low-to-mid single-digit EPS growth as management flagged. The </w:t>
      </w:r>
      <w:r>
        <w:rPr>
          <w:rFonts w:ascii="Calibri" w:hAnsi="Calibri"/>
          <w:b/>
          <w:color w:val="525866"/>
          <w:sz w:val="22"/>
        </w:rPr>
        <w:t>closed sales guidance cut to $240–290M</w:t>
      </w:r>
      <w:r>
        <w:rPr>
          <w:rFonts w:ascii="Calibri" w:hAnsi="Calibri"/>
          <w:color w:val="525866"/>
          <w:sz w:val="22"/>
        </w:rPr>
        <w:t xml:space="preserve"> (from $290–330M) remains the key overhang, though management frames it as a timing issue given a record pipeline above $1B and 25% YoY origination growth. On the GTO side, a 3-point CQG contribution to capital markets will be offset by a 5-point license revenue headwind in wealth management, creating a known drag. The stock has recovered ~2% since the Q3 print but remains down ~36% over the trailing twelve months, trading at ~15x NTM P/E — a significant de-rating from ~31x a year ago — suggesting the market has already priced in considerable risk, which limits downside on an in-line print. The </w:t>
      </w:r>
      <w:r>
        <w:rPr>
          <w:rFonts w:ascii="Calibri" w:hAnsi="Calibri"/>
          <w:b/>
          <w:color w:val="525866"/>
          <w:sz w:val="22"/>
        </w:rPr>
        <w:t>wildcard</w:t>
      </w:r>
      <w:r>
        <w:rPr>
          <w:rFonts w:ascii="Calibri" w:hAnsi="Calibri"/>
          <w:color w:val="525866"/>
          <w:sz w:val="22"/>
        </w:rPr>
        <w:t xml:space="preserve"> is whether management provides a constructive initial framework for the next three-year guidance cycle (FY2027–FY2029) on this call, which could be a meaningful positive catalyst given the stock's depressed valuation.</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reflects management's own Q4 guidance closely — the bar is neither heroic nor low. </w:t>
      </w:r>
      <w:r>
        <w:rPr>
          <w:rFonts w:ascii="Calibri" w:hAnsi="Calibri"/>
          <w:b/>
          <w:color w:val="525866"/>
          <w:sz w:val="22"/>
        </w:rPr>
        <w:t>ICS regulatory revenue</w:t>
      </w:r>
      <w:r>
        <w:rPr>
          <w:rFonts w:ascii="Calibri" w:hAnsi="Calibri"/>
          <w:color w:val="525866"/>
          <w:sz w:val="22"/>
        </w:rPr>
        <w:t xml:space="preserve"> (driven by equity and fund position growth) is the primary swing factor; GTO faces a known net headwind from license timing and the Canton minting curve shift partially offset by CQG.</w:t>
      </w:r>
    </w:p>
    <w:p>
      <w:pPr>
        <w:pStyle w:val="Heading3"/>
      </w:pPr>
      <w:r>
        <w:rPr>
          <w:rFonts w:ascii="Calibri" w:hAnsi="Calibri"/>
          <w:b/>
          <w:color w:val="3B4259"/>
          <w:sz w:val="24"/>
        </w:rPr>
        <w:t>Table 1 — Current Quarter Snapshot (Q4 FY2026)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Q3 FY2026 Actual (Last Quarter)</w:t>
            </w:r>
          </w:p>
        </w:tc>
        <w:tc>
          <w:tcPr>
            <w:tcW w:type="dxa" w:w="1234"/>
            <w:shd w:val="clear" w:color="auto" w:fill="3B4259"/>
          </w:tcPr>
          <w:p>
            <w:r>
              <w:rPr>
                <w:rFonts w:ascii="Calibri" w:hAnsi="Calibri"/>
                <w:b/>
                <w:color w:val="FFFFFF"/>
                <w:sz w:val="22"/>
              </w:rPr>
              <w:t>Q4 FY2025 Actual (Prior Year)</w:t>
            </w:r>
          </w:p>
        </w:tc>
        <w:tc>
          <w:tcPr>
            <w:tcW w:type="dxa" w:w="1234"/>
            <w:shd w:val="clear" w:color="auto" w:fill="3B4259"/>
          </w:tcPr>
          <w:p>
            <w:r>
              <w:rPr>
                <w:rFonts w:ascii="Calibri" w:hAnsi="Calibri"/>
                <w:b/>
                <w:color w:val="FFFFFF"/>
                <w:sz w:val="22"/>
              </w:rPr>
              <w:t>Q4 FY2026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Management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($M)</w:t>
            </w:r>
          </w:p>
        </w:tc>
        <w:tc>
          <w:tcPr>
            <w:tcW w:type="dxa" w:w="1234"/>
          </w:tcPr>
          <w:p>
            <w:r>
              <w:rPr>
                <w:rFonts w:ascii="Calibri" w:hAnsi="Calibri"/>
                <w:sz w:val="22"/>
              </w:rPr>
              <w:t>$1,953.6M</w:t>
            </w:r>
          </w:p>
        </w:tc>
        <w:tc>
          <w:tcPr>
            <w:tcW w:type="dxa" w:w="1234"/>
          </w:tcPr>
          <w:p>
            <w:r>
              <w:rPr>
                <w:rFonts w:ascii="Calibri" w:hAnsi="Calibri"/>
                <w:sz w:val="22"/>
              </w:rPr>
              <w:t>$2,065.4M</w:t>
            </w:r>
          </w:p>
        </w:tc>
        <w:tc>
          <w:tcPr>
            <w:tcW w:type="dxa" w:w="1234"/>
          </w:tcPr>
          <w:p>
            <w:r>
              <w:rPr>
                <w:rFonts w:ascii="Calibri" w:hAnsi="Calibri"/>
                <w:sz w:val="22"/>
              </w:rPr>
              <w:t>$2,164.1M</w:t>
            </w:r>
          </w:p>
        </w:tc>
        <w:tc>
          <w:tcPr>
            <w:tcW w:type="dxa" w:w="1234"/>
          </w:tcPr>
          <w:p>
            <w:r>
              <w:rPr>
                <w:rFonts w:ascii="Calibri" w:hAnsi="Calibri"/>
                <w:sz w:val="22"/>
              </w:rPr>
              <w:t>+4.8% YoY</w:t>
            </w:r>
          </w:p>
        </w:tc>
        <w:tc>
          <w:tcPr>
            <w:tcW w:type="dxa" w:w="1234"/>
          </w:tcPr>
          <w:p>
            <w:r>
              <w:rPr>
                <w:rFonts w:ascii="Calibri" w:hAnsi="Calibri"/>
                <w:sz w:val="22"/>
              </w:rPr>
              <w:t>At or above 7% recurring rev growth (FY)</w:t>
            </w:r>
          </w:p>
        </w:tc>
        <w:tc>
          <w:tcPr>
            <w:tcW w:type="dxa" w:w="1234"/>
          </w:tcPr>
          <w:p>
            <w:r>
              <w:rPr>
                <w:rFonts w:ascii="Calibri" w:hAnsi="Calibri"/>
                <w:sz w:val="22"/>
              </w:rPr>
              <w:t>In line with guidance</w:t>
            </w:r>
          </w:p>
        </w:tc>
      </w:tr>
      <w:tr>
        <w:tc>
          <w:tcPr>
            <w:tcW w:type="dxa" w:w="1234"/>
          </w:tcPr>
          <w:p>
            <w:r>
              <w:rPr>
                <w:rFonts w:ascii="Calibri" w:hAnsi="Calibri"/>
                <w:sz w:val="22"/>
              </w:rPr>
              <w:t>Adj. EPS — Diluted Operating ($)</w:t>
            </w:r>
          </w:p>
        </w:tc>
        <w:tc>
          <w:tcPr>
            <w:tcW w:type="dxa" w:w="1234"/>
          </w:tcPr>
          <w:p>
            <w:r>
              <w:rPr>
                <w:rFonts w:ascii="Calibri" w:hAnsi="Calibri"/>
                <w:sz w:val="22"/>
              </w:rPr>
              <w:t>$2.72</w:t>
            </w:r>
          </w:p>
        </w:tc>
        <w:tc>
          <w:tcPr>
            <w:tcW w:type="dxa" w:w="1234"/>
          </w:tcPr>
          <w:p>
            <w:r>
              <w:rPr>
                <w:rFonts w:ascii="Calibri" w:hAnsi="Calibri"/>
                <w:sz w:val="22"/>
              </w:rPr>
              <w:t>$3.55</w:t>
            </w:r>
          </w:p>
        </w:tc>
        <w:tc>
          <w:tcPr>
            <w:tcW w:type="dxa" w:w="1234"/>
          </w:tcPr>
          <w:p>
            <w:r>
              <w:rPr>
                <w:rFonts w:ascii="Calibri" w:hAnsi="Calibri"/>
                <w:sz w:val="22"/>
              </w:rPr>
              <w:t>$3.77</w:t>
            </w:r>
          </w:p>
        </w:tc>
        <w:tc>
          <w:tcPr>
            <w:tcW w:type="dxa" w:w="1234"/>
          </w:tcPr>
          <w:p>
            <w:r>
              <w:rPr>
                <w:rFonts w:ascii="Calibri" w:hAnsi="Calibri"/>
                <w:sz w:val="22"/>
              </w:rPr>
              <w:t>+6.2% YoY</w:t>
            </w:r>
          </w:p>
        </w:tc>
        <w:tc>
          <w:tcPr>
            <w:tcW w:type="dxa" w:w="1234"/>
          </w:tcPr>
          <w:p>
            <w:r>
              <w:rPr>
                <w:rFonts w:ascii="Calibri" w:hAnsi="Calibri"/>
                <w:sz w:val="22"/>
              </w:rPr>
              <w:t>10–12% FY adj. EPS growth; Q4 implies low-to-mid single-digit</w:t>
            </w:r>
          </w:p>
        </w:tc>
        <w:tc>
          <w:tcPr>
            <w:tcW w:type="dxa" w:w="1234"/>
          </w:tcPr>
          <w:p>
            <w:r>
              <w:rPr>
                <w:rFonts w:ascii="Calibri" w:hAnsi="Calibri"/>
                <w:sz w:val="22"/>
              </w:rPr>
              <w:t>~+6% vs. prior year; within guided range</w:t>
            </w:r>
          </w:p>
        </w:tc>
      </w:tr>
      <w:tr>
        <w:tc>
          <w:tcPr>
            <w:tcW w:type="dxa" w:w="1234"/>
          </w:tcPr>
          <w:p>
            <w:r>
              <w:rPr>
                <w:rFonts w:ascii="Calibri" w:hAnsi="Calibri"/>
                <w:sz w:val="22"/>
              </w:rPr>
              <w:t>ICS Recurring Fee Revenue ($M)</w:t>
            </w:r>
          </w:p>
        </w:tc>
        <w:tc>
          <w:tcPr>
            <w:tcW w:type="dxa" w:w="1234"/>
          </w:tcPr>
          <w:p>
            <w:r>
              <w:rPr>
                <w:rFonts w:ascii="Calibri" w:hAnsi="Calibri"/>
                <w:sz w:val="22"/>
              </w:rPr>
              <w:t>$799.7M</w:t>
            </w:r>
          </w:p>
        </w:tc>
        <w:tc>
          <w:tcPr>
            <w:tcW w:type="dxa" w:w="1234"/>
          </w:tcPr>
          <w:p>
            <w:r>
              <w:rPr>
                <w:rFonts w:ascii="Calibri" w:hAnsi="Calibri"/>
                <w:sz w:val="22"/>
              </w:rPr>
              <w:t>$958.9M</w:t>
            </w:r>
          </w:p>
        </w:tc>
        <w:tc>
          <w:tcPr>
            <w:tcW w:type="dxa" w:w="1234"/>
          </w:tcPr>
          <w:p>
            <w:r>
              <w:rPr>
                <w:rFonts w:ascii="Calibri" w:hAnsi="Calibri"/>
                <w:sz w:val="22"/>
              </w:rPr>
              <w:t>$1,023.3M</w:t>
            </w:r>
          </w:p>
        </w:tc>
        <w:tc>
          <w:tcPr>
            <w:tcW w:type="dxa" w:w="1234"/>
          </w:tcPr>
          <w:p>
            <w:r>
              <w:rPr>
                <w:rFonts w:ascii="Calibri" w:hAnsi="Calibri"/>
                <w:sz w:val="22"/>
              </w:rPr>
              <w:t>+6.7% YoY</w:t>
            </w:r>
          </w:p>
        </w:tc>
        <w:tc>
          <w:tcPr>
            <w:tcW w:type="dxa" w:w="1234"/>
          </w:tcPr>
          <w:p>
            <w:r>
              <w:rPr>
                <w:rFonts w:ascii="Calibri" w:hAnsi="Calibri"/>
                <w:sz w:val="22"/>
              </w:rPr>
              <w:t>ICS recurring rev slightly ahead of overall 7%+ guidance; high single-digit regulatory rev growth in Q4</w:t>
            </w:r>
          </w:p>
        </w:tc>
        <w:tc>
          <w:tcPr>
            <w:tcW w:type="dxa" w:w="1234"/>
          </w:tcPr>
          <w:p>
            <w:r>
              <w:rPr>
                <w:rFonts w:ascii="Calibri" w:hAnsi="Calibri"/>
                <w:sz w:val="22"/>
              </w:rPr>
              <w:t>In line</w:t>
            </w:r>
          </w:p>
        </w:tc>
      </w:tr>
      <w:tr>
        <w:tc>
          <w:tcPr>
            <w:tcW w:type="dxa" w:w="1234"/>
          </w:tcPr>
          <w:p>
            <w:r>
              <w:rPr>
                <w:rFonts w:ascii="Calibri" w:hAnsi="Calibri"/>
                <w:sz w:val="22"/>
              </w:rPr>
              <w:t>GTO Revenue ($M)</w:t>
            </w:r>
          </w:p>
        </w:tc>
        <w:tc>
          <w:tcPr>
            <w:tcW w:type="dxa" w:w="1234"/>
          </w:tcPr>
          <w:p>
            <w:r>
              <w:rPr>
                <w:rFonts w:ascii="Calibri" w:hAnsi="Calibri"/>
                <w:sz w:val="22"/>
              </w:rPr>
              <w:t>$488.3M</w:t>
            </w:r>
          </w:p>
        </w:tc>
        <w:tc>
          <w:tcPr>
            <w:tcW w:type="dxa" w:w="1234"/>
          </w:tcPr>
          <w:p>
            <w:r>
              <w:rPr>
                <w:rFonts w:ascii="Calibri" w:hAnsi="Calibri"/>
                <w:sz w:val="22"/>
              </w:rPr>
              <w:t>$464.7M</w:t>
            </w:r>
          </w:p>
        </w:tc>
        <w:tc>
          <w:tcPr>
            <w:tcW w:type="dxa" w:w="1234"/>
          </w:tcPr>
          <w:p>
            <w:r>
              <w:rPr>
                <w:rFonts w:ascii="Calibri" w:hAnsi="Calibri"/>
                <w:sz w:val="22"/>
              </w:rPr>
              <w:t>$483.6M</w:t>
            </w:r>
          </w:p>
        </w:tc>
        <w:tc>
          <w:tcPr>
            <w:tcW w:type="dxa" w:w="1234"/>
          </w:tcPr>
          <w:p>
            <w:r>
              <w:rPr>
                <w:rFonts w:ascii="Calibri" w:hAnsi="Calibri"/>
                <w:sz w:val="22"/>
              </w:rPr>
              <w:t>+4.1% YoY</w:t>
            </w:r>
          </w:p>
        </w:tc>
        <w:tc>
          <w:tcPr>
            <w:tcW w:type="dxa" w:w="1234"/>
          </w:tcPr>
          <w:p>
            <w:r>
              <w:rPr>
                <w:rFonts w:ascii="Calibri" w:hAnsi="Calibri"/>
                <w:sz w:val="22"/>
              </w:rPr>
              <w:t>GTO 5–7% FY growth; Q4: +3pt CQG, −5pt license headwind in WM</w:t>
            </w:r>
          </w:p>
        </w:tc>
        <w:tc>
          <w:tcPr>
            <w:tcW w:type="dxa" w:w="1234"/>
          </w:tcPr>
          <w:p>
            <w:r>
              <w:rPr>
                <w:rFonts w:ascii="Calibri" w:hAnsi="Calibri"/>
                <w:sz w:val="22"/>
              </w:rPr>
              <w:t>Slightly below midpoint of FY range</w:t>
            </w:r>
          </w:p>
        </w:tc>
      </w:tr>
      <w:tr>
        <w:tc>
          <w:tcPr>
            <w:tcW w:type="dxa" w:w="1234"/>
          </w:tcPr>
          <w:p>
            <w:r>
              <w:rPr>
                <w:rFonts w:ascii="Calibri" w:hAnsi="Calibri"/>
                <w:sz w:val="22"/>
              </w:rPr>
              <w:t>Closed Sales ($M)</w:t>
            </w:r>
          </w:p>
        </w:tc>
        <w:tc>
          <w:tcPr>
            <w:tcW w:type="dxa" w:w="1234"/>
          </w:tcPr>
          <w:p>
            <w:r>
              <w:rPr>
                <w:rFonts w:ascii="Calibri" w:hAnsi="Calibri"/>
                <w:sz w:val="22"/>
              </w:rPr>
              <w:t>$57.5M</w:t>
            </w:r>
          </w:p>
        </w:tc>
        <w:tc>
          <w:tcPr>
            <w:tcW w:type="dxa" w:w="1234"/>
          </w:tcPr>
          <w:p>
            <w:r>
              <w:rPr>
                <w:rFonts w:ascii="Calibri" w:hAnsi="Calibri"/>
                <w:sz w:val="22"/>
              </w:rPr>
              <w:t>$113.5M</w:t>
            </w:r>
          </w:p>
        </w:tc>
        <w:tc>
          <w:tcPr>
            <w:tcW w:type="dxa" w:w="1234"/>
          </w:tcPr>
          <w:p>
            <w:r>
              <w:rPr>
                <w:rFonts w:ascii="Calibri" w:hAnsi="Calibri"/>
                <w:sz w:val="22"/>
              </w:rPr>
              <w:t>$135.4M</w:t>
            </w:r>
          </w:p>
        </w:tc>
        <w:tc>
          <w:tcPr>
            <w:tcW w:type="dxa" w:w="1234"/>
          </w:tcPr>
          <w:p>
            <w:r>
              <w:rPr>
                <w:rFonts w:ascii="Calibri" w:hAnsi="Calibri"/>
                <w:sz w:val="22"/>
              </w:rPr>
              <w:t>+19.3% YoY</w:t>
            </w:r>
          </w:p>
        </w:tc>
        <w:tc>
          <w:tcPr>
            <w:tcW w:type="dxa" w:w="1234"/>
          </w:tcPr>
          <w:p>
            <w:r>
              <w:rPr>
                <w:rFonts w:ascii="Calibri" w:hAnsi="Calibri"/>
                <w:sz w:val="22"/>
              </w:rPr>
              <w:t>$240–290M FY (implies ~$93–143M in Q4)</w:t>
            </w:r>
          </w:p>
        </w:tc>
        <w:tc>
          <w:tcPr>
            <w:tcW w:type="dxa" w:w="1234"/>
          </w:tcPr>
          <w:p>
            <w:r>
              <w:rPr>
                <w:rFonts w:ascii="Calibri" w:hAnsi="Calibri"/>
                <w:sz w:val="22"/>
              </w:rPr>
              <w:t>Consensus at ~$135M; within revised guidance range</w:t>
            </w:r>
          </w:p>
        </w:tc>
      </w:tr>
      <w:tr>
        <w:tc>
          <w:tcPr>
            <w:tcW w:type="dxa" w:w="1234"/>
          </w:tcPr>
          <w:p>
            <w:r>
              <w:rPr>
                <w:rFonts w:ascii="Calibri" w:hAnsi="Calibri"/>
                <w:sz w:val="22"/>
              </w:rPr>
              <w:t>Equity Position Growth (Revenue, %)</w:t>
            </w:r>
          </w:p>
        </w:tc>
        <w:tc>
          <w:tcPr>
            <w:tcW w:type="dxa" w:w="1234"/>
          </w:tcPr>
          <w:p>
            <w:r>
              <w:rPr>
                <w:rFonts w:ascii="Calibri" w:hAnsi="Calibri"/>
                <w:sz w:val="22"/>
              </w:rPr>
              <w:t>11%</w:t>
            </w:r>
          </w:p>
        </w:tc>
        <w:tc>
          <w:tcPr>
            <w:tcW w:type="dxa" w:w="1234"/>
          </w:tcPr>
          <w:p>
            <w:r>
              <w:rPr>
                <w:rFonts w:ascii="Calibri" w:hAnsi="Calibri"/>
                <w:sz w:val="22"/>
              </w:rPr>
              <w:t>18%</w:t>
            </w:r>
          </w:p>
        </w:tc>
        <w:tc>
          <w:tcPr>
            <w:tcW w:type="dxa" w:w="1234"/>
          </w:tcPr>
          <w:p>
            <w:r>
              <w:rPr>
                <w:rFonts w:ascii="Calibri" w:hAnsi="Calibri"/>
                <w:sz w:val="22"/>
              </w:rPr>
              <w:t>~5% (consensus placeholder)</w:t>
            </w:r>
          </w:p>
        </w:tc>
        <w:tc>
          <w:tcPr>
            <w:tcW w:type="dxa" w:w="1234"/>
          </w:tcPr>
          <w:p>
            <w:r>
              <w:rPr>
                <w:rFonts w:ascii="Calibri" w:hAnsi="Calibri"/>
                <w:sz w:val="22"/>
              </w:rPr>
              <w:t>N/A</w:t>
            </w:r>
          </w:p>
        </w:tc>
        <w:tc>
          <w:tcPr>
            <w:tcW w:type="dxa" w:w="1234"/>
          </w:tcPr>
          <w:p>
            <w:r>
              <w:rPr>
                <w:rFonts w:ascii="Calibri" w:hAnsi="Calibri"/>
                <w:sz w:val="22"/>
              </w:rPr>
              <w:t>Low double-digit equity revenue positions in Q4</w:t>
            </w:r>
          </w:p>
        </w:tc>
        <w:tc>
          <w:tcPr>
            <w:tcW w:type="dxa" w:w="1234"/>
          </w:tcPr>
          <w:p>
            <w:r>
              <w:rPr>
                <w:rFonts w:ascii="Calibri" w:hAnsi="Calibri"/>
                <w:sz w:val="22"/>
              </w:rPr>
              <w:t>Consensus below guidance; upside risk if positions track Q3 trend</w:t>
            </w:r>
          </w:p>
        </w:tc>
      </w:tr>
      <w:tr>
        <w:tc>
          <w:tcPr>
            <w:tcW w:type="dxa" w:w="1234"/>
          </w:tcPr>
          <w:p>
            <w:r>
              <w:rPr>
                <w:rFonts w:ascii="Calibri" w:hAnsi="Calibri"/>
                <w:sz w:val="22"/>
              </w:rPr>
              <w:t>Mutual Fund / ETF Position Growth (%)</w:t>
            </w:r>
          </w:p>
        </w:tc>
        <w:tc>
          <w:tcPr>
            <w:tcW w:type="dxa" w:w="1234"/>
          </w:tcPr>
          <w:p>
            <w:r>
              <w:rPr>
                <w:rFonts w:ascii="Calibri" w:hAnsi="Calibri"/>
                <w:sz w:val="22"/>
              </w:rPr>
              <w:t>6%</w:t>
            </w:r>
          </w:p>
        </w:tc>
        <w:tc>
          <w:tcPr>
            <w:tcW w:type="dxa" w:w="1234"/>
          </w:tcPr>
          <w:p>
            <w:r>
              <w:rPr>
                <w:rFonts w:ascii="Calibri" w:hAnsi="Calibri"/>
                <w:sz w:val="22"/>
              </w:rPr>
              <w:t>7%</w:t>
            </w:r>
          </w:p>
        </w:tc>
        <w:tc>
          <w:tcPr>
            <w:tcW w:type="dxa" w:w="1234"/>
          </w:tcPr>
          <w:p>
            <w:r>
              <w:rPr>
                <w:rFonts w:ascii="Calibri" w:hAnsi="Calibri"/>
                <w:sz w:val="22"/>
              </w:rPr>
              <w:t>~6% (consensus placeholder)</w:t>
            </w:r>
          </w:p>
        </w:tc>
        <w:tc>
          <w:tcPr>
            <w:tcW w:type="dxa" w:w="1234"/>
          </w:tcPr>
          <w:p>
            <w:r>
              <w:rPr>
                <w:rFonts w:ascii="Calibri" w:hAnsi="Calibri"/>
                <w:sz w:val="22"/>
              </w:rPr>
              <w:t>N/A</w:t>
            </w:r>
          </w:p>
        </w:tc>
        <w:tc>
          <w:tcPr>
            <w:tcW w:type="dxa" w:w="1234"/>
          </w:tcPr>
          <w:p>
            <w:r>
              <w:rPr>
                <w:rFonts w:ascii="Calibri" w:hAnsi="Calibri"/>
                <w:sz w:val="22"/>
              </w:rPr>
              <w:t>Mid-to-high single-digit fund position growth in Q4</w:t>
            </w:r>
          </w:p>
        </w:tc>
        <w:tc>
          <w:tcPr>
            <w:tcW w:type="dxa" w:w="1234"/>
          </w:tcPr>
          <w:p>
            <w:r>
              <w:rPr>
                <w:rFonts w:ascii="Calibri" w:hAnsi="Calibri"/>
                <w:sz w:val="22"/>
              </w:rPr>
              <w:t>In line with guidance</w:t>
            </w:r>
          </w:p>
        </w:tc>
      </w:tr>
    </w:tbl>
    <w:p>
      <w:r>
        <w:rPr>
          <w:rFonts w:ascii="Calibri" w:hAnsi="Calibri"/>
          <w:i/>
          <w:color w:val="525866"/>
          <w:sz w:val="22"/>
        </w:rPr>
        <w:t>Source: Visible Alpha consensus and actuals data; BR Q3 FY2026 earnings call (April 30, 2026). Revenue and EPS figures from Visible Alpha. Position growth consensus placeholders reflect VA consensus of ~5% vs. management guidance of low double-digit equity revenue positions — a notable divergence that represents upside risk if Q3 trends persist.</w:t>
      </w:r>
    </w:p>
    <w:p>
      <w:pPr>
        <w:pStyle w:val="Heading3"/>
      </w:pPr>
      <w:r>
        <w:rPr>
          <w:rFonts w:ascii="Calibri" w:hAnsi="Calibri"/>
          <w:b/>
          <w:color w:val="3B4259"/>
          <w:sz w:val="24"/>
        </w:rPr>
        <w:t>Table 2 — Beat/Miss History: Top 2 KPIs (Last 8 Quarters)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 Est.</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Q3 FY2026</w:t>
            </w:r>
          </w:p>
        </w:tc>
        <w:tc>
          <w:tcPr>
            <w:tcW w:type="dxa" w:w="1440"/>
          </w:tcPr>
          <w:p>
            <w:r>
              <w:rPr>
                <w:rFonts w:ascii="Calibri" w:hAnsi="Calibri"/>
                <w:sz w:val="22"/>
              </w:rPr>
              <w:t>Revenue ($M)</w:t>
            </w:r>
          </w:p>
        </w:tc>
        <w:tc>
          <w:tcPr>
            <w:tcW w:type="dxa" w:w="1440"/>
          </w:tcPr>
          <w:p>
            <w:r>
              <w:rPr>
                <w:rFonts w:ascii="Calibri" w:hAnsi="Calibri"/>
                <w:sz w:val="22"/>
              </w:rPr>
              <w:t>$1,953.6M</w:t>
            </w:r>
          </w:p>
        </w:tc>
        <w:tc>
          <w:tcPr>
            <w:tcW w:type="dxa" w:w="1440"/>
          </w:tcPr>
          <w:p>
            <w:r>
              <w:rPr>
                <w:rFonts w:ascii="Calibri" w:hAnsi="Calibri"/>
                <w:sz w:val="22"/>
              </w:rPr>
              <w:t>$1,902.7M</w:t>
            </w:r>
          </w:p>
        </w:tc>
        <w:tc>
          <w:tcPr>
            <w:tcW w:type="dxa" w:w="1440"/>
          </w:tcPr>
          <w:p>
            <w:r>
              <w:rPr>
                <w:rFonts w:ascii="Calibri" w:hAnsi="Calibri"/>
                <w:b/>
                <w:color w:val="30A46C"/>
                <w:sz w:val="22"/>
              </w:rPr>
              <w:t>+2.7%</w:t>
            </w:r>
          </w:p>
        </w:tc>
        <w:tc>
          <w:tcPr>
            <w:tcW w:type="dxa" w:w="1440"/>
          </w:tcPr>
          <w:p>
            <w:r>
              <w:rPr>
                <w:rFonts w:ascii="Calibri" w:hAnsi="Calibri"/>
                <w:sz w:val="22"/>
              </w:rPr>
              <w:t>Beat</w:t>
            </w:r>
          </w:p>
        </w:tc>
      </w:tr>
      <w:tr>
        <w:tc>
          <w:tcPr>
            <w:tcW w:type="dxa" w:w="1440"/>
          </w:tcPr>
          <w:p>
            <w:r>
              <w:rPr>
                <w:rFonts w:ascii="Calibri" w:hAnsi="Calibri"/>
                <w:sz w:val="22"/>
              </w:rPr>
              <w:t>Q3 FY2026</w:t>
            </w:r>
          </w:p>
        </w:tc>
        <w:tc>
          <w:tcPr>
            <w:tcW w:type="dxa" w:w="1440"/>
          </w:tcPr>
          <w:p>
            <w:r>
              <w:rPr>
                <w:rFonts w:ascii="Calibri" w:hAnsi="Calibri"/>
                <w:sz w:val="22"/>
              </w:rPr>
              <w:t>Adj. EPS ($)</w:t>
            </w:r>
          </w:p>
        </w:tc>
        <w:tc>
          <w:tcPr>
            <w:tcW w:type="dxa" w:w="1440"/>
          </w:tcPr>
          <w:p>
            <w:r>
              <w:rPr>
                <w:rFonts w:ascii="Calibri" w:hAnsi="Calibri"/>
                <w:sz w:val="22"/>
              </w:rPr>
              <w:t>$2.72</w:t>
            </w:r>
          </w:p>
        </w:tc>
        <w:tc>
          <w:tcPr>
            <w:tcW w:type="dxa" w:w="1440"/>
          </w:tcPr>
          <w:p>
            <w:r>
              <w:rPr>
                <w:rFonts w:ascii="Calibri" w:hAnsi="Calibri"/>
                <w:sz w:val="22"/>
              </w:rPr>
              <w:t>$2.59</w:t>
            </w:r>
          </w:p>
        </w:tc>
        <w:tc>
          <w:tcPr>
            <w:tcW w:type="dxa" w:w="1440"/>
          </w:tcPr>
          <w:p>
            <w:r>
              <w:rPr>
                <w:rFonts w:ascii="Calibri" w:hAnsi="Calibri"/>
                <w:b/>
                <w:color w:val="30A46C"/>
                <w:sz w:val="22"/>
              </w:rPr>
              <w:t>+5.0%</w:t>
            </w:r>
          </w:p>
        </w:tc>
        <w:tc>
          <w:tcPr>
            <w:tcW w:type="dxa" w:w="1440"/>
          </w:tcPr>
          <w:p>
            <w:r>
              <w:rPr>
                <w:rFonts w:ascii="Calibri" w:hAnsi="Calibri"/>
                <w:sz w:val="22"/>
              </w:rPr>
              <w:t>Beat</w:t>
            </w:r>
          </w:p>
        </w:tc>
      </w:tr>
      <w:tr>
        <w:tc>
          <w:tcPr>
            <w:tcW w:type="dxa" w:w="1440"/>
          </w:tcPr>
          <w:p>
            <w:r>
              <w:rPr>
                <w:rFonts w:ascii="Calibri" w:hAnsi="Calibri"/>
                <w:sz w:val="22"/>
              </w:rPr>
              <w:t>Q2 FY2026</w:t>
            </w:r>
          </w:p>
        </w:tc>
        <w:tc>
          <w:tcPr>
            <w:tcW w:type="dxa" w:w="1440"/>
          </w:tcPr>
          <w:p>
            <w:r>
              <w:rPr>
                <w:rFonts w:ascii="Calibri" w:hAnsi="Calibri"/>
                <w:sz w:val="22"/>
              </w:rPr>
              <w:t>Revenue ($M)</w:t>
            </w:r>
          </w:p>
        </w:tc>
        <w:tc>
          <w:tcPr>
            <w:tcW w:type="dxa" w:w="1440"/>
          </w:tcPr>
          <w:p>
            <w:r>
              <w:rPr>
                <w:rFonts w:ascii="Calibri" w:hAnsi="Calibri"/>
                <w:sz w:val="22"/>
              </w:rPr>
              <w:t>$1,713.9M</w:t>
            </w:r>
          </w:p>
        </w:tc>
        <w:tc>
          <w:tcPr>
            <w:tcW w:type="dxa" w:w="1440"/>
          </w:tcPr>
          <w:p>
            <w:r>
              <w:rPr>
                <w:rFonts w:ascii="Calibri" w:hAnsi="Calibri"/>
                <w:sz w:val="22"/>
              </w:rPr>
              <w:t>$1,608.8M</w:t>
            </w:r>
          </w:p>
        </w:tc>
        <w:tc>
          <w:tcPr>
            <w:tcW w:type="dxa" w:w="1440"/>
          </w:tcPr>
          <w:p>
            <w:r>
              <w:rPr>
                <w:rFonts w:ascii="Calibri" w:hAnsi="Calibri"/>
                <w:b/>
                <w:color w:val="30A46C"/>
                <w:sz w:val="22"/>
              </w:rPr>
              <w:t>+6.5%</w:t>
            </w:r>
          </w:p>
        </w:tc>
        <w:tc>
          <w:tcPr>
            <w:tcW w:type="dxa" w:w="1440"/>
          </w:tcPr>
          <w:p>
            <w:r>
              <w:rPr>
                <w:rFonts w:ascii="Calibri" w:hAnsi="Calibri"/>
                <w:sz w:val="22"/>
              </w:rPr>
              <w:t>Beat</w:t>
            </w:r>
          </w:p>
        </w:tc>
      </w:tr>
      <w:tr>
        <w:tc>
          <w:tcPr>
            <w:tcW w:type="dxa" w:w="1440"/>
          </w:tcPr>
          <w:p>
            <w:r>
              <w:rPr>
                <w:rFonts w:ascii="Calibri" w:hAnsi="Calibri"/>
                <w:sz w:val="22"/>
              </w:rPr>
              <w:t>Q2 FY2026</w:t>
            </w:r>
          </w:p>
        </w:tc>
        <w:tc>
          <w:tcPr>
            <w:tcW w:type="dxa" w:w="1440"/>
          </w:tcPr>
          <w:p>
            <w:r>
              <w:rPr>
                <w:rFonts w:ascii="Calibri" w:hAnsi="Calibri"/>
                <w:sz w:val="22"/>
              </w:rPr>
              <w:t>Adj. EPS ($)</w:t>
            </w:r>
          </w:p>
        </w:tc>
        <w:tc>
          <w:tcPr>
            <w:tcW w:type="dxa" w:w="1440"/>
          </w:tcPr>
          <w:p>
            <w:r>
              <w:rPr>
                <w:rFonts w:ascii="Calibri" w:hAnsi="Calibri"/>
                <w:sz w:val="22"/>
              </w:rPr>
              <w:t>$1.59</w:t>
            </w:r>
          </w:p>
        </w:tc>
        <w:tc>
          <w:tcPr>
            <w:tcW w:type="dxa" w:w="1440"/>
          </w:tcPr>
          <w:p>
            <w:r>
              <w:rPr>
                <w:rFonts w:ascii="Calibri" w:hAnsi="Calibri"/>
                <w:sz w:val="22"/>
              </w:rPr>
              <w:t>$1.37</w:t>
            </w:r>
          </w:p>
        </w:tc>
        <w:tc>
          <w:tcPr>
            <w:tcW w:type="dxa" w:w="1440"/>
          </w:tcPr>
          <w:p>
            <w:r>
              <w:rPr>
                <w:rFonts w:ascii="Calibri" w:hAnsi="Calibri"/>
                <w:b/>
                <w:color w:val="30A46C"/>
                <w:sz w:val="22"/>
              </w:rPr>
              <w:t>+16.1%</w:t>
            </w:r>
          </w:p>
        </w:tc>
        <w:tc>
          <w:tcPr>
            <w:tcW w:type="dxa" w:w="1440"/>
          </w:tcPr>
          <w:p>
            <w:r>
              <w:rPr>
                <w:rFonts w:ascii="Calibri" w:hAnsi="Calibri"/>
                <w:sz w:val="22"/>
              </w:rPr>
              <w:t>Beat</w:t>
            </w:r>
          </w:p>
        </w:tc>
      </w:tr>
      <w:tr>
        <w:tc>
          <w:tcPr>
            <w:tcW w:type="dxa" w:w="1440"/>
          </w:tcPr>
          <w:p>
            <w:r>
              <w:rPr>
                <w:rFonts w:ascii="Calibri" w:hAnsi="Calibri"/>
                <w:sz w:val="22"/>
              </w:rPr>
              <w:t>Q1 FY2026</w:t>
            </w:r>
          </w:p>
        </w:tc>
        <w:tc>
          <w:tcPr>
            <w:tcW w:type="dxa" w:w="1440"/>
          </w:tcPr>
          <w:p>
            <w:r>
              <w:rPr>
                <w:rFonts w:ascii="Calibri" w:hAnsi="Calibri"/>
                <w:sz w:val="22"/>
              </w:rPr>
              <w:t>Revenue ($M)</w:t>
            </w:r>
          </w:p>
        </w:tc>
        <w:tc>
          <w:tcPr>
            <w:tcW w:type="dxa" w:w="1440"/>
          </w:tcPr>
          <w:p>
            <w:r>
              <w:rPr>
                <w:rFonts w:ascii="Calibri" w:hAnsi="Calibri"/>
                <w:sz w:val="22"/>
              </w:rPr>
              <w:t>$1,589.4M</w:t>
            </w:r>
          </w:p>
        </w:tc>
        <w:tc>
          <w:tcPr>
            <w:tcW w:type="dxa" w:w="1440"/>
          </w:tcPr>
          <w:p>
            <w:r>
              <w:rPr>
                <w:rFonts w:ascii="Calibri" w:hAnsi="Calibri"/>
                <w:sz w:val="22"/>
              </w:rPr>
              <w:t>$1,537.9M</w:t>
            </w:r>
          </w:p>
        </w:tc>
        <w:tc>
          <w:tcPr>
            <w:tcW w:type="dxa" w:w="1440"/>
          </w:tcPr>
          <w:p>
            <w:r>
              <w:rPr>
                <w:rFonts w:ascii="Calibri" w:hAnsi="Calibri"/>
                <w:b/>
                <w:color w:val="30A46C"/>
                <w:sz w:val="22"/>
              </w:rPr>
              <w:t>+3.3%</w:t>
            </w:r>
          </w:p>
        </w:tc>
        <w:tc>
          <w:tcPr>
            <w:tcW w:type="dxa" w:w="1440"/>
          </w:tcPr>
          <w:p>
            <w:r>
              <w:rPr>
                <w:rFonts w:ascii="Calibri" w:hAnsi="Calibri"/>
                <w:sz w:val="22"/>
              </w:rPr>
              <w:t>Beat</w:t>
            </w:r>
          </w:p>
        </w:tc>
      </w:tr>
      <w:tr>
        <w:tc>
          <w:tcPr>
            <w:tcW w:type="dxa" w:w="1440"/>
          </w:tcPr>
          <w:p>
            <w:r>
              <w:rPr>
                <w:rFonts w:ascii="Calibri" w:hAnsi="Calibri"/>
                <w:sz w:val="22"/>
              </w:rPr>
              <w:t>Q1 FY2026</w:t>
            </w:r>
          </w:p>
        </w:tc>
        <w:tc>
          <w:tcPr>
            <w:tcW w:type="dxa" w:w="1440"/>
          </w:tcPr>
          <w:p>
            <w:r>
              <w:rPr>
                <w:rFonts w:ascii="Calibri" w:hAnsi="Calibri"/>
                <w:sz w:val="22"/>
              </w:rPr>
              <w:t>Adj. EPS ($)</w:t>
            </w:r>
          </w:p>
        </w:tc>
        <w:tc>
          <w:tcPr>
            <w:tcW w:type="dxa" w:w="1440"/>
          </w:tcPr>
          <w:p>
            <w:r>
              <w:rPr>
                <w:rFonts w:ascii="Calibri" w:hAnsi="Calibri"/>
                <w:sz w:val="22"/>
              </w:rPr>
              <w:t>$1.51</w:t>
            </w:r>
          </w:p>
        </w:tc>
        <w:tc>
          <w:tcPr>
            <w:tcW w:type="dxa" w:w="1440"/>
          </w:tcPr>
          <w:p>
            <w:r>
              <w:rPr>
                <w:rFonts w:ascii="Calibri" w:hAnsi="Calibri"/>
                <w:sz w:val="22"/>
              </w:rPr>
              <w:t>$1.25</w:t>
            </w:r>
          </w:p>
        </w:tc>
        <w:tc>
          <w:tcPr>
            <w:tcW w:type="dxa" w:w="1440"/>
          </w:tcPr>
          <w:p>
            <w:r>
              <w:rPr>
                <w:rFonts w:ascii="Calibri" w:hAnsi="Calibri"/>
                <w:b/>
                <w:color w:val="30A46C"/>
                <w:sz w:val="22"/>
              </w:rPr>
              <w:t>+20.8%</w:t>
            </w:r>
          </w:p>
        </w:tc>
        <w:tc>
          <w:tcPr>
            <w:tcW w:type="dxa" w:w="1440"/>
          </w:tcPr>
          <w:p>
            <w:r>
              <w:rPr>
                <w:rFonts w:ascii="Calibri" w:hAnsi="Calibri"/>
                <w:sz w:val="22"/>
              </w:rPr>
              <w:t>Beat</w:t>
            </w:r>
          </w:p>
        </w:tc>
      </w:tr>
      <w:tr>
        <w:tc>
          <w:tcPr>
            <w:tcW w:type="dxa" w:w="1440"/>
          </w:tcPr>
          <w:p>
            <w:r>
              <w:rPr>
                <w:rFonts w:ascii="Calibri" w:hAnsi="Calibri"/>
                <w:sz w:val="22"/>
              </w:rPr>
              <w:t>Q4 FY2025</w:t>
            </w:r>
          </w:p>
        </w:tc>
        <w:tc>
          <w:tcPr>
            <w:tcW w:type="dxa" w:w="1440"/>
          </w:tcPr>
          <w:p>
            <w:r>
              <w:rPr>
                <w:rFonts w:ascii="Calibri" w:hAnsi="Calibri"/>
                <w:sz w:val="22"/>
              </w:rPr>
              <w:t>Revenue ($M)</w:t>
            </w:r>
          </w:p>
        </w:tc>
        <w:tc>
          <w:tcPr>
            <w:tcW w:type="dxa" w:w="1440"/>
          </w:tcPr>
          <w:p>
            <w:r>
              <w:rPr>
                <w:rFonts w:ascii="Calibri" w:hAnsi="Calibri"/>
                <w:sz w:val="22"/>
              </w:rPr>
              <w:t>$2,065.4M</w:t>
            </w:r>
          </w:p>
        </w:tc>
        <w:tc>
          <w:tcPr>
            <w:tcW w:type="dxa" w:w="1440"/>
          </w:tcPr>
          <w:p>
            <w:r>
              <w:rPr>
                <w:rFonts w:ascii="Calibri" w:hAnsi="Calibri"/>
                <w:sz w:val="22"/>
              </w:rPr>
              <w:t>$2,054.6M</w:t>
            </w:r>
          </w:p>
        </w:tc>
        <w:tc>
          <w:tcPr>
            <w:tcW w:type="dxa" w:w="1440"/>
          </w:tcPr>
          <w:p>
            <w:r>
              <w:rPr>
                <w:rFonts w:ascii="Calibri" w:hAnsi="Calibri"/>
                <w:b/>
                <w:color w:val="30A46C"/>
                <w:sz w:val="22"/>
              </w:rPr>
              <w:t>+0.5%</w:t>
            </w:r>
          </w:p>
        </w:tc>
        <w:tc>
          <w:tcPr>
            <w:tcW w:type="dxa" w:w="1440"/>
          </w:tcPr>
          <w:p>
            <w:r>
              <w:rPr>
                <w:rFonts w:ascii="Calibri" w:hAnsi="Calibri"/>
                <w:sz w:val="22"/>
              </w:rPr>
              <w:t>Beat</w:t>
            </w:r>
          </w:p>
        </w:tc>
      </w:tr>
      <w:tr>
        <w:tc>
          <w:tcPr>
            <w:tcW w:type="dxa" w:w="1440"/>
          </w:tcPr>
          <w:p>
            <w:r>
              <w:rPr>
                <w:rFonts w:ascii="Calibri" w:hAnsi="Calibri"/>
                <w:sz w:val="22"/>
              </w:rPr>
              <w:t>Q4 FY2025</w:t>
            </w:r>
          </w:p>
        </w:tc>
        <w:tc>
          <w:tcPr>
            <w:tcW w:type="dxa" w:w="1440"/>
          </w:tcPr>
          <w:p>
            <w:r>
              <w:rPr>
                <w:rFonts w:ascii="Calibri" w:hAnsi="Calibri"/>
                <w:sz w:val="22"/>
              </w:rPr>
              <w:t>Adj. EPS ($)</w:t>
            </w:r>
          </w:p>
        </w:tc>
        <w:tc>
          <w:tcPr>
            <w:tcW w:type="dxa" w:w="1440"/>
          </w:tcPr>
          <w:p>
            <w:r>
              <w:rPr>
                <w:rFonts w:ascii="Calibri" w:hAnsi="Calibri"/>
                <w:sz w:val="22"/>
              </w:rPr>
              <w:t>$3.55</w:t>
            </w:r>
          </w:p>
        </w:tc>
        <w:tc>
          <w:tcPr>
            <w:tcW w:type="dxa" w:w="1440"/>
          </w:tcPr>
          <w:p>
            <w:r>
              <w:rPr>
                <w:rFonts w:ascii="Calibri" w:hAnsi="Calibri"/>
                <w:sz w:val="22"/>
              </w:rPr>
              <w:t>$3.50</w:t>
            </w:r>
          </w:p>
        </w:tc>
        <w:tc>
          <w:tcPr>
            <w:tcW w:type="dxa" w:w="1440"/>
          </w:tcPr>
          <w:p>
            <w:r>
              <w:rPr>
                <w:rFonts w:ascii="Calibri" w:hAnsi="Calibri"/>
                <w:b/>
                <w:color w:val="30A46C"/>
                <w:sz w:val="22"/>
              </w:rPr>
              <w:t>+1.4%</w:t>
            </w:r>
          </w:p>
        </w:tc>
        <w:tc>
          <w:tcPr>
            <w:tcW w:type="dxa" w:w="1440"/>
          </w:tcPr>
          <w:p>
            <w:r>
              <w:rPr>
                <w:rFonts w:ascii="Calibri" w:hAnsi="Calibri"/>
                <w:sz w:val="22"/>
              </w:rPr>
              <w:t>Beat</w:t>
            </w:r>
          </w:p>
        </w:tc>
      </w:tr>
      <w:tr>
        <w:tc>
          <w:tcPr>
            <w:tcW w:type="dxa" w:w="1440"/>
          </w:tcPr>
          <w:p>
            <w:r>
              <w:rPr>
                <w:rFonts w:ascii="Calibri" w:hAnsi="Calibri"/>
                <w:sz w:val="22"/>
              </w:rPr>
              <w:t>Q3 FY2025</w:t>
            </w:r>
          </w:p>
        </w:tc>
        <w:tc>
          <w:tcPr>
            <w:tcW w:type="dxa" w:w="1440"/>
          </w:tcPr>
          <w:p>
            <w:r>
              <w:rPr>
                <w:rFonts w:ascii="Calibri" w:hAnsi="Calibri"/>
                <w:sz w:val="22"/>
              </w:rPr>
              <w:t>Revenue ($M)</w:t>
            </w:r>
          </w:p>
        </w:tc>
        <w:tc>
          <w:tcPr>
            <w:tcW w:type="dxa" w:w="1440"/>
          </w:tcPr>
          <w:p>
            <w:r>
              <w:rPr>
                <w:rFonts w:ascii="Calibri" w:hAnsi="Calibri"/>
                <w:sz w:val="22"/>
              </w:rPr>
              <w:t>$1,811.7M</w:t>
            </w:r>
          </w:p>
        </w:tc>
        <w:tc>
          <w:tcPr>
            <w:tcW w:type="dxa" w:w="1440"/>
          </w:tcPr>
          <w:p>
            <w:r>
              <w:rPr>
                <w:rFonts w:ascii="Calibri" w:hAnsi="Calibri"/>
                <w:sz w:val="22"/>
              </w:rPr>
              <w:t>$1,859.1M</w:t>
            </w:r>
          </w:p>
        </w:tc>
        <w:tc>
          <w:tcPr>
            <w:tcW w:type="dxa" w:w="1440"/>
          </w:tcPr>
          <w:p>
            <w:r>
              <w:rPr>
                <w:rFonts w:ascii="Calibri" w:hAnsi="Calibri"/>
                <w:b/>
                <w:color w:val="E5484D"/>
                <w:sz w:val="22"/>
              </w:rPr>
              <w:t>−2.6%</w:t>
            </w:r>
          </w:p>
        </w:tc>
        <w:tc>
          <w:tcPr>
            <w:tcW w:type="dxa" w:w="1440"/>
          </w:tcPr>
          <w:p>
            <w:r>
              <w:rPr>
                <w:rFonts w:ascii="Calibri" w:hAnsi="Calibri"/>
                <w:sz w:val="22"/>
              </w:rPr>
              <w:t>Miss</w:t>
            </w:r>
          </w:p>
        </w:tc>
      </w:tr>
      <w:tr>
        <w:tc>
          <w:tcPr>
            <w:tcW w:type="dxa" w:w="1440"/>
          </w:tcPr>
          <w:p>
            <w:r>
              <w:rPr>
                <w:rFonts w:ascii="Calibri" w:hAnsi="Calibri"/>
                <w:sz w:val="22"/>
              </w:rPr>
              <w:t>Q3 FY2025</w:t>
            </w:r>
          </w:p>
        </w:tc>
        <w:tc>
          <w:tcPr>
            <w:tcW w:type="dxa" w:w="1440"/>
          </w:tcPr>
          <w:p>
            <w:r>
              <w:rPr>
                <w:rFonts w:ascii="Calibri" w:hAnsi="Calibri"/>
                <w:sz w:val="22"/>
              </w:rPr>
              <w:t>Adj. EPS ($)</w:t>
            </w:r>
          </w:p>
        </w:tc>
        <w:tc>
          <w:tcPr>
            <w:tcW w:type="dxa" w:w="1440"/>
          </w:tcPr>
          <w:p>
            <w:r>
              <w:rPr>
                <w:rFonts w:ascii="Calibri" w:hAnsi="Calibri"/>
                <w:sz w:val="22"/>
              </w:rPr>
              <w:t>$2.44</w:t>
            </w:r>
          </w:p>
        </w:tc>
        <w:tc>
          <w:tcPr>
            <w:tcW w:type="dxa" w:w="1440"/>
          </w:tcPr>
          <w:p>
            <w:r>
              <w:rPr>
                <w:rFonts w:ascii="Calibri" w:hAnsi="Calibri"/>
                <w:sz w:val="22"/>
              </w:rPr>
              <w:t>$2.42</w:t>
            </w:r>
          </w:p>
        </w:tc>
        <w:tc>
          <w:tcPr>
            <w:tcW w:type="dxa" w:w="1440"/>
          </w:tcPr>
          <w:p>
            <w:r>
              <w:rPr>
                <w:rFonts w:ascii="Calibri" w:hAnsi="Calibri"/>
                <w:b/>
                <w:color w:val="30A46C"/>
                <w:sz w:val="22"/>
              </w:rPr>
              <w:t>+0.8%</w:t>
            </w:r>
          </w:p>
        </w:tc>
        <w:tc>
          <w:tcPr>
            <w:tcW w:type="dxa" w:w="1440"/>
          </w:tcPr>
          <w:p>
            <w:r>
              <w:rPr>
                <w:rFonts w:ascii="Calibri" w:hAnsi="Calibri"/>
                <w:sz w:val="22"/>
              </w:rPr>
              <w:t>Beat</w:t>
            </w:r>
          </w:p>
        </w:tc>
      </w:tr>
      <w:tr>
        <w:tc>
          <w:tcPr>
            <w:tcW w:type="dxa" w:w="1440"/>
          </w:tcPr>
          <w:p>
            <w:r>
              <w:rPr>
                <w:rFonts w:ascii="Calibri" w:hAnsi="Calibri"/>
                <w:sz w:val="22"/>
              </w:rPr>
              <w:t>Q2 FY2025</w:t>
            </w:r>
          </w:p>
        </w:tc>
        <w:tc>
          <w:tcPr>
            <w:tcW w:type="dxa" w:w="1440"/>
          </w:tcPr>
          <w:p>
            <w:r>
              <w:rPr>
                <w:rFonts w:ascii="Calibri" w:hAnsi="Calibri"/>
                <w:sz w:val="22"/>
              </w:rPr>
              <w:t>Revenue ($M)</w:t>
            </w:r>
          </w:p>
        </w:tc>
        <w:tc>
          <w:tcPr>
            <w:tcW w:type="dxa" w:w="1440"/>
          </w:tcPr>
          <w:p>
            <w:r>
              <w:rPr>
                <w:rFonts w:ascii="Calibri" w:hAnsi="Calibri"/>
                <w:sz w:val="22"/>
              </w:rPr>
              <w:t>$1,589.2M</w:t>
            </w:r>
          </w:p>
        </w:tc>
        <w:tc>
          <w:tcPr>
            <w:tcW w:type="dxa" w:w="1440"/>
          </w:tcPr>
          <w:p>
            <w:r>
              <w:rPr>
                <w:rFonts w:ascii="Calibri" w:hAnsi="Calibri"/>
                <w:sz w:val="22"/>
              </w:rPr>
              <w:t>$1,547.0M</w:t>
            </w:r>
          </w:p>
        </w:tc>
        <w:tc>
          <w:tcPr>
            <w:tcW w:type="dxa" w:w="1440"/>
          </w:tcPr>
          <w:p>
            <w:r>
              <w:rPr>
                <w:rFonts w:ascii="Calibri" w:hAnsi="Calibri"/>
                <w:b/>
                <w:color w:val="30A46C"/>
                <w:sz w:val="22"/>
              </w:rPr>
              <w:t>+2.7%</w:t>
            </w:r>
          </w:p>
        </w:tc>
        <w:tc>
          <w:tcPr>
            <w:tcW w:type="dxa" w:w="1440"/>
          </w:tcPr>
          <w:p>
            <w:r>
              <w:rPr>
                <w:rFonts w:ascii="Calibri" w:hAnsi="Calibri"/>
                <w:sz w:val="22"/>
              </w:rPr>
              <w:t>Beat</w:t>
            </w:r>
          </w:p>
        </w:tc>
      </w:tr>
      <w:tr>
        <w:tc>
          <w:tcPr>
            <w:tcW w:type="dxa" w:w="1440"/>
          </w:tcPr>
          <w:p>
            <w:r>
              <w:rPr>
                <w:rFonts w:ascii="Calibri" w:hAnsi="Calibri"/>
                <w:sz w:val="22"/>
              </w:rPr>
              <w:t>Q2 FY2025</w:t>
            </w:r>
          </w:p>
        </w:tc>
        <w:tc>
          <w:tcPr>
            <w:tcW w:type="dxa" w:w="1440"/>
          </w:tcPr>
          <w:p>
            <w:r>
              <w:rPr>
                <w:rFonts w:ascii="Calibri" w:hAnsi="Calibri"/>
                <w:sz w:val="22"/>
              </w:rPr>
              <w:t>Adj. EPS ($)</w:t>
            </w:r>
          </w:p>
        </w:tc>
        <w:tc>
          <w:tcPr>
            <w:tcW w:type="dxa" w:w="1440"/>
          </w:tcPr>
          <w:p>
            <w:r>
              <w:rPr>
                <w:rFonts w:ascii="Calibri" w:hAnsi="Calibri"/>
                <w:sz w:val="22"/>
              </w:rPr>
              <w:t>$1.56</w:t>
            </w:r>
          </w:p>
        </w:tc>
        <w:tc>
          <w:tcPr>
            <w:tcW w:type="dxa" w:w="1440"/>
          </w:tcPr>
          <w:p>
            <w:r>
              <w:rPr>
                <w:rFonts w:ascii="Calibri" w:hAnsi="Calibri"/>
                <w:sz w:val="22"/>
              </w:rPr>
              <w:t>$1.49</w:t>
            </w:r>
          </w:p>
        </w:tc>
        <w:tc>
          <w:tcPr>
            <w:tcW w:type="dxa" w:w="1440"/>
          </w:tcPr>
          <w:p>
            <w:r>
              <w:rPr>
                <w:rFonts w:ascii="Calibri" w:hAnsi="Calibri"/>
                <w:b/>
                <w:color w:val="30A46C"/>
                <w:sz w:val="22"/>
              </w:rPr>
              <w:t>+4.7%</w:t>
            </w:r>
          </w:p>
        </w:tc>
        <w:tc>
          <w:tcPr>
            <w:tcW w:type="dxa" w:w="1440"/>
          </w:tcPr>
          <w:p>
            <w:r>
              <w:rPr>
                <w:rFonts w:ascii="Calibri" w:hAnsi="Calibri"/>
                <w:sz w:val="22"/>
              </w:rPr>
              <w:t>Beat</w:t>
            </w:r>
          </w:p>
        </w:tc>
      </w:tr>
      <w:tr>
        <w:tc>
          <w:tcPr>
            <w:tcW w:type="dxa" w:w="1440"/>
          </w:tcPr>
          <w:p>
            <w:r>
              <w:rPr>
                <w:rFonts w:ascii="Calibri" w:hAnsi="Calibri"/>
                <w:sz w:val="22"/>
              </w:rPr>
              <w:t>Q1 FY2025</w:t>
            </w:r>
          </w:p>
        </w:tc>
        <w:tc>
          <w:tcPr>
            <w:tcW w:type="dxa" w:w="1440"/>
          </w:tcPr>
          <w:p>
            <w:r>
              <w:rPr>
                <w:rFonts w:ascii="Calibri" w:hAnsi="Calibri"/>
                <w:sz w:val="22"/>
              </w:rPr>
              <w:t>Revenue ($M)</w:t>
            </w:r>
          </w:p>
        </w:tc>
        <w:tc>
          <w:tcPr>
            <w:tcW w:type="dxa" w:w="1440"/>
          </w:tcPr>
          <w:p>
            <w:r>
              <w:rPr>
                <w:rFonts w:ascii="Calibri" w:hAnsi="Calibri"/>
                <w:sz w:val="22"/>
              </w:rPr>
              <w:t>$1,422.9M</w:t>
            </w:r>
          </w:p>
        </w:tc>
        <w:tc>
          <w:tcPr>
            <w:tcW w:type="dxa" w:w="1440"/>
          </w:tcPr>
          <w:p>
            <w:r>
              <w:rPr>
                <w:rFonts w:ascii="Calibri" w:hAnsi="Calibri"/>
                <w:sz w:val="22"/>
              </w:rPr>
              <w:t>$1,496.0M</w:t>
            </w:r>
          </w:p>
        </w:tc>
        <w:tc>
          <w:tcPr>
            <w:tcW w:type="dxa" w:w="1440"/>
          </w:tcPr>
          <w:p>
            <w:r>
              <w:rPr>
                <w:rFonts w:ascii="Calibri" w:hAnsi="Calibri"/>
                <w:b/>
                <w:color w:val="E5484D"/>
                <w:sz w:val="22"/>
              </w:rPr>
              <w:t>−4.9%</w:t>
            </w:r>
          </w:p>
        </w:tc>
        <w:tc>
          <w:tcPr>
            <w:tcW w:type="dxa" w:w="1440"/>
          </w:tcPr>
          <w:p>
            <w:r>
              <w:rPr>
                <w:rFonts w:ascii="Calibri" w:hAnsi="Calibri"/>
                <w:sz w:val="22"/>
              </w:rPr>
              <w:t>Miss</w:t>
            </w:r>
          </w:p>
        </w:tc>
      </w:tr>
      <w:tr>
        <w:tc>
          <w:tcPr>
            <w:tcW w:type="dxa" w:w="1440"/>
          </w:tcPr>
          <w:p>
            <w:r>
              <w:rPr>
                <w:rFonts w:ascii="Calibri" w:hAnsi="Calibri"/>
                <w:sz w:val="22"/>
              </w:rPr>
              <w:t>Q1 FY2025</w:t>
            </w:r>
          </w:p>
        </w:tc>
        <w:tc>
          <w:tcPr>
            <w:tcW w:type="dxa" w:w="1440"/>
          </w:tcPr>
          <w:p>
            <w:r>
              <w:rPr>
                <w:rFonts w:ascii="Calibri" w:hAnsi="Calibri"/>
                <w:sz w:val="22"/>
              </w:rPr>
              <w:t>Adj. EPS ($)</w:t>
            </w:r>
          </w:p>
        </w:tc>
        <w:tc>
          <w:tcPr>
            <w:tcW w:type="dxa" w:w="1440"/>
          </w:tcPr>
          <w:p>
            <w:r>
              <w:rPr>
                <w:rFonts w:ascii="Calibri" w:hAnsi="Calibri"/>
                <w:sz w:val="22"/>
              </w:rPr>
              <w:t>$1.00</w:t>
            </w:r>
          </w:p>
        </w:tc>
        <w:tc>
          <w:tcPr>
            <w:tcW w:type="dxa" w:w="1440"/>
          </w:tcPr>
          <w:p>
            <w:r>
              <w:rPr>
                <w:rFonts w:ascii="Calibri" w:hAnsi="Calibri"/>
                <w:sz w:val="22"/>
              </w:rPr>
              <w:t>$0.99</w:t>
            </w:r>
          </w:p>
        </w:tc>
        <w:tc>
          <w:tcPr>
            <w:tcW w:type="dxa" w:w="1440"/>
          </w:tcPr>
          <w:p>
            <w:r>
              <w:rPr>
                <w:rFonts w:ascii="Calibri" w:hAnsi="Calibri"/>
                <w:b/>
                <w:color w:val="30A46C"/>
                <w:sz w:val="22"/>
              </w:rPr>
              <w:t>+1.0%</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i/>
          <w:color w:val="525866"/>
          <w:sz w:val="22"/>
        </w:rPr>
        <w:t>BR has beaten adjusted EPS consensus in 7 of the last 8 quarters, with the sole revenue miss in Q1 FY2025 and Q3 FY2025 driven by seasonal timing and distribution revenue dynamics rather than underlying demand weakness; the consistent EPS beat pattern reflects management's conservative guidance philosophy and operating leverage discipline.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raised twice since the start of FY2026 — most recently at the Q3 print on April 30, 2026 — and has been consistently reaffirmed at three investor conferences since then (Needham May 12, Bernstein May 27, RBC June 9). </w:t>
      </w:r>
      <w:r>
        <w:rPr>
          <w:rFonts w:ascii="Calibri" w:hAnsi="Calibri"/>
          <w:b/>
          <w:color w:val="525866"/>
          <w:sz w:val="22"/>
        </w:rPr>
        <w:t>No post-earnings guidance changes</w:t>
      </w:r>
      <w:r>
        <w:rPr>
          <w:rFonts w:ascii="Calibri" w:hAnsi="Calibri"/>
          <w:color w:val="525866"/>
          <w:sz w:val="22"/>
        </w:rPr>
        <w:t xml:space="preserve"> have been issued via 8-K; tone at conferences is constructive and consistent with the April 30 framework.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(Q3 FY2026 Earnings Call — April 30,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Recurring Revenue Growth (CC)</w:t>
            </w:r>
          </w:p>
        </w:tc>
        <w:tc>
          <w:tcPr>
            <w:tcW w:type="dxa" w:w="1728"/>
          </w:tcPr>
          <w:p>
            <w:r>
              <w:rPr>
                <w:rFonts w:ascii="Calibri" w:hAnsi="Calibri"/>
                <w:sz w:val="22"/>
              </w:rPr>
              <w:t>At or above 7%</w:t>
            </w:r>
          </w:p>
        </w:tc>
        <w:tc>
          <w:tcPr>
            <w:tcW w:type="dxa" w:w="1728"/>
          </w:tcPr>
          <w:p>
            <w:r>
              <w:rPr>
                <w:rFonts w:ascii="Calibri" w:hAnsi="Calibri"/>
                <w:sz w:val="22"/>
              </w:rPr>
              <w:t>—</w:t>
            </w:r>
          </w:p>
        </w:tc>
        <w:tc>
          <w:tcPr>
            <w:tcW w:type="dxa" w:w="1728"/>
          </w:tcPr>
          <w:p>
            <w:r>
              <w:rPr>
                <w:rFonts w:ascii="Calibri" w:hAnsi="Calibri"/>
                <w:sz w:val="22"/>
              </w:rPr>
              <w:t>~7.4% implied by VA consensus</w:t>
            </w:r>
          </w:p>
        </w:tc>
        <w:tc>
          <w:tcPr>
            <w:tcW w:type="dxa" w:w="1728"/>
          </w:tcPr>
          <w:p>
            <w:r>
              <w:rPr>
                <w:rFonts w:ascii="Calibri" w:hAnsi="Calibri"/>
                <w:sz w:val="22"/>
              </w:rPr>
              <w:t>Reaffirmed at Needham (May 12), Bernstein (May 27), and RBC (June 9) conferences; no change</w:t>
            </w:r>
          </w:p>
        </w:tc>
      </w:tr>
      <w:tr>
        <w:tc>
          <w:tcPr>
            <w:tcW w:type="dxa" w:w="1728"/>
          </w:tcPr>
          <w:p>
            <w:r>
              <w:rPr>
                <w:rFonts w:ascii="Calibri" w:hAnsi="Calibri"/>
                <w:sz w:val="22"/>
              </w:rPr>
              <w:t>FY2026 Adjusted EPS Growth</w:t>
            </w:r>
          </w:p>
        </w:tc>
        <w:tc>
          <w:tcPr>
            <w:tcW w:type="dxa" w:w="1728"/>
          </w:tcPr>
          <w:p>
            <w:r>
              <w:rPr>
                <w:rFonts w:ascii="Calibri" w:hAnsi="Calibri"/>
                <w:sz w:val="22"/>
              </w:rPr>
              <w:t>10–12%</w:t>
            </w:r>
          </w:p>
        </w:tc>
        <w:tc>
          <w:tcPr>
            <w:tcW w:type="dxa" w:w="1728"/>
          </w:tcPr>
          <w:p>
            <w:r>
              <w:rPr>
                <w:rFonts w:ascii="Calibri" w:hAnsi="Calibri"/>
                <w:sz w:val="22"/>
              </w:rPr>
              <w:t>—</w:t>
            </w:r>
          </w:p>
        </w:tc>
        <w:tc>
          <w:tcPr>
            <w:tcW w:type="dxa" w:w="1728"/>
          </w:tcPr>
          <w:p>
            <w:r>
              <w:rPr>
                <w:rFonts w:ascii="Calibri" w:hAnsi="Calibri"/>
                <w:sz w:val="22"/>
              </w:rPr>
              <w:t>~10.5% implied by VA consensus ($9.56 vs. $8.65 FY2025)</w:t>
            </w:r>
          </w:p>
        </w:tc>
        <w:tc>
          <w:tcPr>
            <w:tcW w:type="dxa" w:w="1728"/>
          </w:tcPr>
          <w:p>
            <w:r>
              <w:rPr>
                <w:rFonts w:ascii="Calibri" w:hAnsi="Calibri"/>
                <w:sz w:val="22"/>
              </w:rPr>
              <w:t>Reaffirmed at all three post-earnings conferences; tone confident</w:t>
            </w:r>
          </w:p>
        </w:tc>
      </w:tr>
      <w:tr>
        <w:tc>
          <w:tcPr>
            <w:tcW w:type="dxa" w:w="1728"/>
          </w:tcPr>
          <w:p>
            <w:r>
              <w:rPr>
                <w:rFonts w:ascii="Calibri" w:hAnsi="Calibri"/>
                <w:sz w:val="22"/>
              </w:rPr>
              <w:t>FY2026 AOI Margin</w:t>
            </w:r>
          </w:p>
        </w:tc>
        <w:tc>
          <w:tcPr>
            <w:tcW w:type="dxa" w:w="1728"/>
          </w:tcPr>
          <w:p>
            <w:r>
              <w:rPr>
                <w:rFonts w:ascii="Calibri" w:hAnsi="Calibri"/>
                <w:sz w:val="22"/>
              </w:rPr>
              <w:t>~20–21%</w:t>
            </w:r>
          </w:p>
        </w:tc>
        <w:tc>
          <w:tcPr>
            <w:tcW w:type="dxa" w:w="1728"/>
          </w:tcPr>
          <w:p>
            <w:r>
              <w:rPr>
                <w:rFonts w:ascii="Calibri" w:hAnsi="Calibri"/>
                <w:sz w:val="22"/>
              </w:rPr>
              <w:t>—</w:t>
            </w:r>
          </w:p>
        </w:tc>
        <w:tc>
          <w:tcPr>
            <w:tcW w:type="dxa" w:w="1728"/>
          </w:tcPr>
          <w:p>
            <w:r>
              <w:rPr>
                <w:rFonts w:ascii="Calibri" w:hAnsi="Calibri"/>
                <w:sz w:val="22"/>
              </w:rPr>
              <w:t>~20% (consistent with guidance)</w:t>
            </w:r>
          </w:p>
        </w:tc>
        <w:tc>
          <w:tcPr>
            <w:tcW w:type="dxa" w:w="1728"/>
          </w:tcPr>
          <w:p>
            <w:r>
              <w:rPr>
                <w:rFonts w:ascii="Calibri" w:hAnsi="Calibri"/>
                <w:sz w:val="22"/>
              </w:rPr>
              <w:t>Unchanged; Q4 expected to show similar margin dynamic to Q3 (21.5% AOI margin in Q3)</w:t>
            </w:r>
          </w:p>
        </w:tc>
      </w:tr>
      <w:tr>
        <w:tc>
          <w:tcPr>
            <w:tcW w:type="dxa" w:w="1728"/>
          </w:tcPr>
          <w:p>
            <w:r>
              <w:rPr>
                <w:rFonts w:ascii="Calibri" w:hAnsi="Calibri"/>
                <w:sz w:val="22"/>
              </w:rPr>
              <w:t>FY2026 Closed Sales</w:t>
            </w:r>
          </w:p>
        </w:tc>
        <w:tc>
          <w:tcPr>
            <w:tcW w:type="dxa" w:w="1728"/>
          </w:tcPr>
          <w:p>
            <w:r>
              <w:rPr>
                <w:rFonts w:ascii="Calibri" w:hAnsi="Calibri"/>
                <w:sz w:val="22"/>
              </w:rPr>
              <w:t>$240–290M (cut from $290–330M at Q3 print)</w:t>
            </w:r>
          </w:p>
        </w:tc>
        <w:tc>
          <w:tcPr>
            <w:tcW w:type="dxa" w:w="1728"/>
          </w:tcPr>
          <w:p>
            <w:r>
              <w:rPr>
                <w:rFonts w:ascii="Calibri" w:hAnsi="Calibri"/>
                <w:sz w:val="22"/>
              </w:rPr>
              <w:t>—</w:t>
            </w:r>
          </w:p>
        </w:tc>
        <w:tc>
          <w:tcPr>
            <w:tcW w:type="dxa" w:w="1728"/>
          </w:tcPr>
          <w:p>
            <w:r>
              <w:rPr>
                <w:rFonts w:ascii="Calibri" w:hAnsi="Calibri"/>
                <w:sz w:val="22"/>
              </w:rPr>
              <w:t>~$282M (VA consensus)</w:t>
            </w:r>
          </w:p>
        </w:tc>
        <w:tc>
          <w:tcPr>
            <w:tcW w:type="dxa" w:w="1728"/>
          </w:tcPr>
          <w:p>
            <w:r>
              <w:rPr>
                <w:rFonts w:ascii="Calibri" w:hAnsi="Calibri"/>
                <w:sz w:val="22"/>
              </w:rPr>
              <w:t>Lowered at Q3 earnings (April 30, 2026); attributed to elongated deal cycles on larger engagements, not demand deterioration; pipeline at record &gt;$1B</w:t>
            </w:r>
          </w:p>
        </w:tc>
      </w:tr>
      <w:tr>
        <w:tc>
          <w:tcPr>
            <w:tcW w:type="dxa" w:w="1728"/>
          </w:tcPr>
          <w:p>
            <w:r>
              <w:rPr>
                <w:rFonts w:ascii="Calibri" w:hAnsi="Calibri"/>
                <w:sz w:val="22"/>
              </w:rPr>
              <w:t>Q4 FY2026 ICS Regulatory Revenue</w:t>
            </w:r>
          </w:p>
        </w:tc>
        <w:tc>
          <w:tcPr>
            <w:tcW w:type="dxa" w:w="1728"/>
          </w:tcPr>
          <w:p>
            <w:r>
              <w:rPr>
                <w:rFonts w:ascii="Calibri" w:hAnsi="Calibri"/>
                <w:sz w:val="22"/>
              </w:rPr>
              <w:t>High single-digit growth</w:t>
            </w:r>
          </w:p>
        </w:tc>
        <w:tc>
          <w:tcPr>
            <w:tcW w:type="dxa" w:w="1728"/>
          </w:tcPr>
          <w:p>
            <w:r>
              <w:rPr>
                <w:rFonts w:ascii="Calibri" w:hAnsi="Calibri"/>
                <w:sz w:val="22"/>
              </w:rPr>
              <w:t>—</w:t>
            </w:r>
          </w:p>
        </w:tc>
        <w:tc>
          <w:tcPr>
            <w:tcW w:type="dxa" w:w="1728"/>
          </w:tcPr>
          <w:p>
            <w:r>
              <w:rPr>
                <w:rFonts w:ascii="Calibri" w:hAnsi="Calibri"/>
                <w:sz w:val="22"/>
              </w:rPr>
              <w:t>Consistent with guidance</w:t>
            </w:r>
          </w:p>
        </w:tc>
        <w:tc>
          <w:tcPr>
            <w:tcW w:type="dxa" w:w="1728"/>
          </w:tcPr>
          <w:p>
            <w:r>
              <w:rPr>
                <w:rFonts w:ascii="Calibri" w:hAnsi="Calibri"/>
                <w:sz w:val="22"/>
              </w:rPr>
              <w:t>Driven by low double-digit equity revenue positions + mid-to-high single-digit fund positions</w:t>
            </w:r>
          </w:p>
        </w:tc>
      </w:tr>
      <w:tr>
        <w:tc>
          <w:tcPr>
            <w:tcW w:type="dxa" w:w="1728"/>
          </w:tcPr>
          <w:p>
            <w:r>
              <w:rPr>
                <w:rFonts w:ascii="Calibri" w:hAnsi="Calibri"/>
                <w:sz w:val="22"/>
              </w:rPr>
              <w:t>Q4 FY2026 GTO Capital Markets</w:t>
            </w:r>
          </w:p>
        </w:tc>
        <w:tc>
          <w:tcPr>
            <w:tcW w:type="dxa" w:w="1728"/>
          </w:tcPr>
          <w:p>
            <w:r>
              <w:rPr>
                <w:rFonts w:ascii="Calibri" w:hAnsi="Calibri"/>
                <w:sz w:val="22"/>
              </w:rPr>
              <w:t>+3pt contribution from CQG; −5pt license headwind in WM</w:t>
            </w:r>
          </w:p>
        </w:tc>
        <w:tc>
          <w:tcPr>
            <w:tcW w:type="dxa" w:w="1728"/>
          </w:tcPr>
          <w:p>
            <w:r>
              <w:rPr>
                <w:rFonts w:ascii="Calibri" w:hAnsi="Calibri"/>
                <w:sz w:val="22"/>
              </w:rPr>
              <w:t>—</w:t>
            </w:r>
          </w:p>
        </w:tc>
        <w:tc>
          <w:tcPr>
            <w:tcW w:type="dxa" w:w="1728"/>
          </w:tcPr>
          <w:p>
            <w:r>
              <w:rPr>
                <w:rFonts w:ascii="Calibri" w:hAnsi="Calibri"/>
                <w:sz w:val="22"/>
              </w:rPr>
              <w:t>Net modest headwind expected</w:t>
            </w:r>
          </w:p>
        </w:tc>
        <w:tc>
          <w:tcPr>
            <w:tcW w:type="dxa" w:w="1728"/>
          </w:tcPr>
          <w:p>
            <w:r>
              <w:rPr>
                <w:rFonts w:ascii="Calibri" w:hAnsi="Calibri"/>
                <w:sz w:val="22"/>
              </w:rPr>
              <w:t>CQG closed April 30, 2026; Canton minting curve shift to application rewards creates known headwind</w:t>
            </w:r>
          </w:p>
        </w:tc>
      </w:tr>
      <w:tr>
        <w:tc>
          <w:tcPr>
            <w:tcW w:type="dxa" w:w="1728"/>
          </w:tcPr>
          <w:p>
            <w:r>
              <w:rPr>
                <w:rFonts w:ascii="Calibri" w:hAnsi="Calibri"/>
                <w:sz w:val="22"/>
              </w:rPr>
              <w:t>FY2026 Free Cash Flow Conversion</w:t>
            </w:r>
          </w:p>
        </w:tc>
        <w:tc>
          <w:tcPr>
            <w:tcW w:type="dxa" w:w="1728"/>
          </w:tcPr>
          <w:p>
            <w:r>
              <w:rPr>
                <w:rFonts w:ascii="Calibri" w:hAnsi="Calibri"/>
                <w:sz w:val="22"/>
              </w:rPr>
              <w:t>Over 100%</w:t>
            </w:r>
          </w:p>
        </w:tc>
        <w:tc>
          <w:tcPr>
            <w:tcW w:type="dxa" w:w="1728"/>
          </w:tcPr>
          <w:p>
            <w:r>
              <w:rPr>
                <w:rFonts w:ascii="Calibri" w:hAnsi="Calibri"/>
                <w:sz w:val="22"/>
              </w:rPr>
              <w:t>—</w:t>
            </w:r>
          </w:p>
        </w:tc>
        <w:tc>
          <w:tcPr>
            <w:tcW w:type="dxa" w:w="1728"/>
          </w:tcPr>
          <w:p>
            <w:r>
              <w:rPr>
                <w:rFonts w:ascii="Calibri" w:hAnsi="Calibri"/>
                <w:sz w:val="22"/>
              </w:rPr>
              <w:t>On track per management</w:t>
            </w:r>
          </w:p>
        </w:tc>
        <w:tc>
          <w:tcPr>
            <w:tcW w:type="dxa" w:w="1728"/>
          </w:tcPr>
          <w:p>
            <w:r>
              <w:rPr>
                <w:rFonts w:ascii="Calibri" w:hAnsi="Calibri"/>
                <w:sz w:val="22"/>
              </w:rPr>
              <w:t>Reaffirmed at Q3 earnings; leverage ratio at 1.9x, below 2.0–2.5x target</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w:t>
      </w:r>
      <w:r>
        <w:rPr>
          <w:rFonts w:ascii="Calibri" w:hAnsi="Calibri"/>
          <w:b/>
          <w:color w:val="525866"/>
          <w:sz w:val="22"/>
        </w:rPr>
        <w:t>modestly revised upward</w:t>
      </w:r>
      <w:r>
        <w:rPr>
          <w:rFonts w:ascii="Calibri" w:hAnsi="Calibri"/>
          <w:color w:val="525866"/>
          <w:sz w:val="22"/>
        </w:rPr>
        <w:t xml:space="preserve"> since the Q3 print on April 30, 2026, tracking management's raised guidance. The gap between current consensus and guidance is narrow, suggesting the bar is fairly set — no meaningful cushion or risk from estimate drift.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Q3 Earnings (as of May 7,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(Q3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Q4 FY2026</w:t>
            </w:r>
          </w:p>
        </w:tc>
        <w:tc>
          <w:tcPr>
            <w:tcW w:type="dxa" w:w="1080"/>
          </w:tcPr>
          <w:p>
            <w:r>
              <w:rPr>
                <w:rFonts w:ascii="Calibri" w:hAnsi="Calibri"/>
                <w:sz w:val="22"/>
              </w:rPr>
              <w:t>$2,161.6M</w:t>
            </w:r>
          </w:p>
        </w:tc>
        <w:tc>
          <w:tcPr>
            <w:tcW w:type="dxa" w:w="1080"/>
          </w:tcPr>
          <w:p>
            <w:r>
              <w:rPr>
                <w:rFonts w:ascii="Calibri" w:hAnsi="Calibri"/>
                <w:sz w:val="22"/>
              </w:rPr>
              <w:t>$2,164.1M</w:t>
            </w:r>
          </w:p>
        </w:tc>
        <w:tc>
          <w:tcPr>
            <w:tcW w:type="dxa" w:w="1080"/>
          </w:tcPr>
          <w:p>
            <w:r>
              <w:rPr>
                <w:rFonts w:ascii="Calibri" w:hAnsi="Calibri"/>
                <w:sz w:val="22"/>
              </w:rPr>
              <w:t>+0.1%</w:t>
            </w:r>
          </w:p>
        </w:tc>
        <w:tc>
          <w:tcPr>
            <w:tcW w:type="dxa" w:w="1080"/>
          </w:tcPr>
          <w:p>
            <w:r>
              <w:rPr>
                <w:rFonts w:ascii="Calibri" w:hAnsi="Calibri"/>
                <w:sz w:val="22"/>
              </w:rPr>
              <w:t>At or above 7% recurring rev growth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Revenue — FY2026</w:t>
            </w:r>
          </w:p>
        </w:tc>
        <w:tc>
          <w:tcPr>
            <w:tcW w:type="dxa" w:w="1080"/>
          </w:tcPr>
          <w:p>
            <w:r>
              <w:rPr>
                <w:rFonts w:ascii="Calibri" w:hAnsi="Calibri"/>
                <w:sz w:val="22"/>
              </w:rPr>
              <w:t>$7,418.5M</w:t>
            </w:r>
          </w:p>
        </w:tc>
        <w:tc>
          <w:tcPr>
            <w:tcW w:type="dxa" w:w="1080"/>
          </w:tcPr>
          <w:p>
            <w:r>
              <w:rPr>
                <w:rFonts w:ascii="Calibri" w:hAnsi="Calibri"/>
                <w:sz w:val="22"/>
              </w:rPr>
              <w:t>$7,420.9M</w:t>
            </w:r>
          </w:p>
        </w:tc>
        <w:tc>
          <w:tcPr>
            <w:tcW w:type="dxa" w:w="1080"/>
          </w:tcPr>
          <w:p>
            <w:r>
              <w:rPr>
                <w:rFonts w:ascii="Calibri" w:hAnsi="Calibri"/>
                <w:sz w:val="22"/>
              </w:rPr>
              <w:t>+0.0%</w:t>
            </w:r>
          </w:p>
        </w:tc>
        <w:tc>
          <w:tcPr>
            <w:tcW w:type="dxa" w:w="1080"/>
          </w:tcPr>
          <w:p>
            <w:r>
              <w:rPr>
                <w:rFonts w:ascii="Calibri" w:hAnsi="Calibri"/>
                <w:sz w:val="22"/>
              </w:rPr>
              <w:t>At or above 7% recurring rev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Revenue — FY2027</w:t>
            </w:r>
          </w:p>
        </w:tc>
        <w:tc>
          <w:tcPr>
            <w:tcW w:type="dxa" w:w="1080"/>
          </w:tcPr>
          <w:p>
            <w:r>
              <w:rPr>
                <w:rFonts w:ascii="Calibri" w:hAnsi="Calibri"/>
                <w:sz w:val="22"/>
              </w:rPr>
              <w:t>$7,757.8M</w:t>
            </w:r>
          </w:p>
        </w:tc>
        <w:tc>
          <w:tcPr>
            <w:tcW w:type="dxa" w:w="1080"/>
          </w:tcPr>
          <w:p>
            <w:r>
              <w:rPr>
                <w:rFonts w:ascii="Calibri" w:hAnsi="Calibri"/>
                <w:sz w:val="22"/>
              </w:rPr>
              <w:t>$7,764.3M</w:t>
            </w:r>
          </w:p>
        </w:tc>
        <w:tc>
          <w:tcPr>
            <w:tcW w:type="dxa" w:w="1080"/>
          </w:tcPr>
          <w:p>
            <w:r>
              <w:rPr>
                <w:rFonts w:ascii="Calibri" w:hAnsi="Calibri"/>
                <w:sz w:val="22"/>
              </w:rPr>
              <w:t>+0.1%</w:t>
            </w:r>
          </w:p>
        </w:tc>
        <w:tc>
          <w:tcPr>
            <w:tcW w:type="dxa" w:w="1080"/>
          </w:tcPr>
          <w:p>
            <w:r>
              <w:rPr>
                <w:rFonts w:ascii="Calibri" w:hAnsi="Calibri"/>
                <w:sz w:val="22"/>
              </w:rPr>
              <w:t>Next 3-yr cycle expected to look "very similar" to current cycle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Consistent with continuation of 7–9% recurring rev growth</w:t>
            </w:r>
          </w:p>
        </w:tc>
      </w:tr>
      <w:tr>
        <w:tc>
          <w:tcPr>
            <w:tcW w:type="dxa" w:w="1080"/>
          </w:tcPr>
          <w:p>
            <w:r>
              <w:rPr>
                <w:rFonts w:ascii="Calibri" w:hAnsi="Calibri"/>
                <w:sz w:val="22"/>
              </w:rPr>
              <w:t>Adj. EPS — Q4 FY2026</w:t>
            </w:r>
          </w:p>
        </w:tc>
        <w:tc>
          <w:tcPr>
            <w:tcW w:type="dxa" w:w="1080"/>
          </w:tcPr>
          <w:p>
            <w:r>
              <w:rPr>
                <w:rFonts w:ascii="Calibri" w:hAnsi="Calibri"/>
                <w:sz w:val="22"/>
              </w:rPr>
              <w:t>$3.75</w:t>
            </w:r>
          </w:p>
        </w:tc>
        <w:tc>
          <w:tcPr>
            <w:tcW w:type="dxa" w:w="1080"/>
          </w:tcPr>
          <w:p>
            <w:r>
              <w:rPr>
                <w:rFonts w:ascii="Calibri" w:hAnsi="Calibri"/>
                <w:sz w:val="22"/>
              </w:rPr>
              <w:t>$3.77</w:t>
            </w:r>
          </w:p>
        </w:tc>
        <w:tc>
          <w:tcPr>
            <w:tcW w:type="dxa" w:w="1080"/>
          </w:tcPr>
          <w:p>
            <w:r>
              <w:rPr>
                <w:rFonts w:ascii="Calibri" w:hAnsi="Calibri"/>
                <w:sz w:val="22"/>
              </w:rPr>
              <w:t>+0.5%</w:t>
            </w:r>
          </w:p>
        </w:tc>
        <w:tc>
          <w:tcPr>
            <w:tcW w:type="dxa" w:w="1080"/>
          </w:tcPr>
          <w:p>
            <w:r>
              <w:rPr>
                <w:rFonts w:ascii="Calibri" w:hAnsi="Calibri"/>
                <w:sz w:val="22"/>
              </w:rPr>
              <w:t>10–12% FY adj. EPS growth; Q4 implies low-to-mid single-digit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guidance</w:t>
            </w:r>
          </w:p>
        </w:tc>
      </w:tr>
      <w:tr>
        <w:tc>
          <w:tcPr>
            <w:tcW w:type="dxa" w:w="1080"/>
          </w:tcPr>
          <w:p>
            <w:r>
              <w:rPr>
                <w:rFonts w:ascii="Calibri" w:hAnsi="Calibri"/>
                <w:sz w:val="22"/>
              </w:rPr>
              <w:t>Adj. EPS — FY2026</w:t>
            </w:r>
          </w:p>
        </w:tc>
        <w:tc>
          <w:tcPr>
            <w:tcW w:type="dxa" w:w="1080"/>
          </w:tcPr>
          <w:p>
            <w:r>
              <w:rPr>
                <w:rFonts w:ascii="Calibri" w:hAnsi="Calibri"/>
                <w:sz w:val="22"/>
              </w:rPr>
              <w:t>$9.55</w:t>
            </w:r>
          </w:p>
        </w:tc>
        <w:tc>
          <w:tcPr>
            <w:tcW w:type="dxa" w:w="1080"/>
          </w:tcPr>
          <w:p>
            <w:r>
              <w:rPr>
                <w:rFonts w:ascii="Calibri" w:hAnsi="Calibri"/>
                <w:sz w:val="22"/>
              </w:rPr>
              <w:t>$9.56</w:t>
            </w:r>
          </w:p>
        </w:tc>
        <w:tc>
          <w:tcPr>
            <w:tcW w:type="dxa" w:w="1080"/>
          </w:tcPr>
          <w:p>
            <w:r>
              <w:rPr>
                <w:rFonts w:ascii="Calibri" w:hAnsi="Calibri"/>
                <w:sz w:val="22"/>
              </w:rPr>
              <w:t>+0.1%</w:t>
            </w:r>
          </w:p>
        </w:tc>
        <w:tc>
          <w:tcPr>
            <w:tcW w:type="dxa" w:w="1080"/>
          </w:tcPr>
          <w:p>
            <w:r>
              <w:rPr>
                <w:rFonts w:ascii="Calibri" w:hAnsi="Calibri"/>
                <w:sz w:val="22"/>
              </w:rPr>
              <w:t>10–12% FY adj. EPS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low end of 10–12% range</w:t>
            </w:r>
          </w:p>
        </w:tc>
      </w:tr>
      <w:tr>
        <w:tc>
          <w:tcPr>
            <w:tcW w:type="dxa" w:w="1080"/>
          </w:tcPr>
          <w:p>
            <w:r>
              <w:rPr>
                <w:rFonts w:ascii="Calibri" w:hAnsi="Calibri"/>
                <w:sz w:val="22"/>
              </w:rPr>
              <w:t>Adj. EPS — FY2027</w:t>
            </w:r>
          </w:p>
        </w:tc>
        <w:tc>
          <w:tcPr>
            <w:tcW w:type="dxa" w:w="1080"/>
          </w:tcPr>
          <w:p>
            <w:r>
              <w:rPr>
                <w:rFonts w:ascii="Calibri" w:hAnsi="Calibri"/>
                <w:sz w:val="22"/>
              </w:rPr>
              <w:t>$10.37</w:t>
            </w:r>
          </w:p>
        </w:tc>
        <w:tc>
          <w:tcPr>
            <w:tcW w:type="dxa" w:w="1080"/>
          </w:tcPr>
          <w:p>
            <w:r>
              <w:rPr>
                <w:rFonts w:ascii="Calibri" w:hAnsi="Calibri"/>
                <w:sz w:val="22"/>
              </w:rPr>
              <w:t>$10.41</w:t>
            </w:r>
          </w:p>
        </w:tc>
        <w:tc>
          <w:tcPr>
            <w:tcW w:type="dxa" w:w="1080"/>
          </w:tcPr>
          <w:p>
            <w:r>
              <w:rPr>
                <w:rFonts w:ascii="Calibri" w:hAnsi="Calibri"/>
                <w:sz w:val="22"/>
              </w:rPr>
              <w:t>+0.4%</w:t>
            </w:r>
          </w:p>
        </w:tc>
        <w:tc>
          <w:tcPr>
            <w:tcW w:type="dxa" w:w="1080"/>
          </w:tcPr>
          <w:p>
            <w:r>
              <w:rPr>
                <w:rFonts w:ascii="Calibri" w:hAnsi="Calibri"/>
                <w:sz w:val="22"/>
              </w:rPr>
              <w:t>Next 3-yr cycle: 8–12% EPS growth expected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~9% growth; within expected range</w:t>
            </w:r>
          </w:p>
        </w:tc>
      </w:tr>
      <w:tr>
        <w:tc>
          <w:tcPr>
            <w:tcW w:type="dxa" w:w="1080"/>
          </w:tcPr>
          <w:p>
            <w:r>
              <w:rPr>
                <w:rFonts w:ascii="Calibri" w:hAnsi="Calibri"/>
                <w:sz w:val="22"/>
              </w:rPr>
              <w:t>Closed Sales — FY2026</w:t>
            </w:r>
          </w:p>
        </w:tc>
        <w:tc>
          <w:tcPr>
            <w:tcW w:type="dxa" w:w="1080"/>
          </w:tcPr>
          <w:p>
            <w:r>
              <w:rPr>
                <w:rFonts w:ascii="Calibri" w:hAnsi="Calibri"/>
                <w:sz w:val="22"/>
              </w:rPr>
              <w:t>$282.2M</w:t>
            </w:r>
          </w:p>
        </w:tc>
        <w:tc>
          <w:tcPr>
            <w:tcW w:type="dxa" w:w="1080"/>
          </w:tcPr>
          <w:p>
            <w:r>
              <w:rPr>
                <w:rFonts w:ascii="Calibri" w:hAnsi="Calibri"/>
                <w:sz w:val="22"/>
              </w:rPr>
              <w:t>$282.2M</w:t>
            </w:r>
          </w:p>
        </w:tc>
        <w:tc>
          <w:tcPr>
            <w:tcW w:type="dxa" w:w="1080"/>
          </w:tcPr>
          <w:p>
            <w:r>
              <w:rPr>
                <w:rFonts w:ascii="Calibri" w:hAnsi="Calibri"/>
                <w:sz w:val="22"/>
              </w:rPr>
              <w:t>0.0%</w:t>
            </w:r>
          </w:p>
        </w:tc>
        <w:tc>
          <w:tcPr>
            <w:tcW w:type="dxa" w:w="1080"/>
          </w:tcPr>
          <w:p>
            <w:r>
              <w:rPr>
                <w:rFonts w:ascii="Calibri" w:hAnsi="Calibri"/>
                <w:sz w:val="22"/>
              </w:rPr>
              <w:t>$240–290M (cut from $290–330M)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Near top of revised range; requires strong Q4 close</w:t>
            </w:r>
          </w:p>
        </w:tc>
      </w:tr>
    </w:tbl>
    <w:p>
      <w:r>
        <w:rPr>
          <w:rFonts w:ascii="Calibri" w:hAnsi="Calibri"/>
          <w:i/>
          <w:color w:val="525866"/>
          <w:sz w:val="22"/>
        </w:rPr>
        <w:t>Source: Visible Alpha consensus and actuals data. Estimate baseline as of May 7, 2026 (approximately 5 trading days post Q3 FY2026 earnings on April 30, 2026). Estimates have been remarkably stable since the Q3 print, with virtually no revision drift — suggesting the street has high confidence in management's guidance framework and is not pricing in meaningful upside or downside from current levels.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BR's stock performance since the Q3 earnings print has been driven almost entirely by </w:t>
      </w:r>
      <w:r>
        <w:rPr>
          <w:rFonts w:ascii="Calibri" w:hAnsi="Calibri"/>
          <w:b/>
          <w:color w:val="525866"/>
          <w:sz w:val="22"/>
        </w:rPr>
        <w:t>multiple contraction</w:t>
      </w:r>
      <w:r>
        <w:rPr>
          <w:rFonts w:ascii="Calibri" w:hAnsi="Calibri"/>
          <w:color w:val="525866"/>
          <w:sz w:val="22"/>
        </w:rPr>
        <w:t xml:space="preserve"> rather than estimate revisions — the NTM P/E has compressed from ~31x a year ago to ~15x today, a ~51% de-rating, while EPS estimates have been largely stable. The stock is up ~2% since the April 30 print but down ~36% over the trailing twelve months, significantly underperforming both XLK (+12% since print) and the S&amp;P 500 (+5% since print).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BR vs. XLK vs. S&amp;P 500 — Indexed to 100 at Q3 FY2026 Earnings (April 30, 2026). BR +2.2%, XLK +11.6%, SPY +5.4% through August 4, 2026. Sector ETF: XLK (Technology Select Sector SPDR). Source: Yahoo Finance / Stock Price Data.</w:t>
      </w:r>
    </w:p>
    <w:p>
      <w:r>
        <w:rPr>
          <w:rFonts w:ascii="Calibri" w:hAnsi="Calibri"/>
          <w:b/>
          <w:color w:val="525866"/>
          <w:sz w:val="22"/>
        </w:rPr>
        <w:t xml:space="preserve">Performance Decomposition (trailing 12 months): </w:t>
      </w:r>
      <w:r>
        <w:rPr>
          <w:rFonts w:ascii="Calibri" w:hAnsi="Calibri"/>
          <w:color w:val="525866"/>
          <w:sz w:val="22"/>
        </w:rPr>
        <w:t>BR is down ~36% over the past year. The NTM EV/EBITDA multiple has compressed from ~18x to ~11x (−40%), while NTM P/E has compressed from ~31x to ~15x (−51%). Estimate revisions have been modestly negative (adj. EPS estimates for the current quarter declined from ~$3.56 in August 2025 to ~$3.41 in July 2026, a ~4% downward drift), but the overwhelming driver of underperformance has been multiple contraction. Management explicitly acknowledged the stock's underperformance at the Bernstein conference (May 27, 2026), attributing it to: (1) sector-wide reallocation toward hyperscalers and large AI names; (2) investor uncertainty about whether AI is a tailwind or headwind for BR; and (3) a tokenization bear case concern about recurring revenue model disruption. At ~15x NTM P/E, the stock trades at a significant discount to its 5-year average and to the broader fintech peer group, suggesting the market has priced in a more adverse scenario than management's guidance implies.</w:t>
      </w:r>
    </w:p>
    <w:p>
      <w:pPr>
        <w:pStyle w:val="Heading2"/>
      </w:pPr>
      <w:r>
        <w:rPr>
          <w:rFonts w:ascii="Calibri" w:hAnsi="Calibri"/>
          <w:b/>
          <w:color w:val="3B4259"/>
          <w:sz w:val="28"/>
        </w:rPr>
        <w:t>6. Peer Commentaries / Read-Throughs (Last 60 Days)</w:t>
      </w:r>
    </w:p>
    <w:p>
      <w:r>
        <w:rPr>
          <w:rFonts w:ascii="Calibri" w:hAnsi="Calibri"/>
          <w:b/>
          <w:color w:val="525866"/>
          <w:sz w:val="22"/>
        </w:rPr>
        <w:t xml:space="preserve">Key Takeaway: </w:t>
      </w:r>
      <w:r>
        <w:rPr>
          <w:rFonts w:ascii="Calibri" w:hAnsi="Calibri"/>
          <w:color w:val="525866"/>
          <w:sz w:val="22"/>
        </w:rPr>
        <w:t xml:space="preserve">Peer commentary from ADP (reported July 29), FactSet (reported July 1), SS&amp;C Technologies (reported July 23), and Paychex (reported June 24) is broadly </w:t>
      </w:r>
      <w:r>
        <w:rPr>
          <w:rFonts w:ascii="Calibri" w:hAnsi="Calibri"/>
          <w:b/>
          <w:color w:val="525866"/>
          <w:sz w:val="22"/>
        </w:rPr>
        <w:t>constructive for BR</w:t>
      </w:r>
      <w:r>
        <w:rPr>
          <w:rFonts w:ascii="Calibri" w:hAnsi="Calibri"/>
          <w:color w:val="525866"/>
          <w:sz w:val="22"/>
        </w:rPr>
        <w:t xml:space="preserve"> — all four peers reported strong demand, robust pipelines, AI as a revenue tailwind, and healthy wealth/asset management technology spending. The most directly relevant read-through is FactSet's confirmation that AI is driving incremental client spending and longer-duration contracts in financial data/technology, and SS&amp;C's commentary on robust demand for outsourcing and tokenized product infrastructure.</w:t>
      </w:r>
    </w:p>
    <w:p>
      <w:r>
        <w:rPr>
          <w:rFonts w:ascii="Calibri" w:hAnsi="Calibri"/>
          <w:b/>
          <w:color w:val="525866"/>
          <w:sz w:val="22"/>
        </w:rPr>
        <w:t xml:space="preserve">Note on Peer Selection: </w:t>
      </w:r>
      <w:r>
        <w:rPr>
          <w:rFonts w:ascii="Calibri" w:hAnsi="Calibri"/>
          <w:i/>
          <w:color w:val="525866"/>
          <w:sz w:val="22"/>
        </w:rPr>
        <w:t>Only commentary from peers' most recently reported quarters (i.e., their current reporting period or forward-looking commentary issued after their own last earnings) is included below. Prior-quarter results commentary has been excluded. All four peers below reported within the last 60 days and provided forward-looking commentary relevant to BR's Q4 FY2026 setup.</w:t>
      </w:r>
    </w:p>
    <w:p>
      <w:pPr>
        <w:pStyle w:val="Heading3"/>
      </w:pPr>
      <w:r>
        <w:rPr>
          <w:rFonts w:ascii="Calibri" w:hAnsi="Calibri"/>
          <w:b/>
          <w:color w:val="3B4259"/>
          <w:sz w:val="24"/>
        </w:rPr>
        <w:t>6.1 ADP (Reported July 29, 2026 — FY2027 Outlook)</w:t>
      </w:r>
    </w:p>
    <w:p>
      <w:r>
        <w:rPr>
          <w:rFonts w:ascii="Calibri" w:hAnsi="Calibri"/>
          <w:b/>
          <w:color w:val="525866"/>
          <w:sz w:val="22"/>
        </w:rPr>
        <w:t xml:space="preserve">Relevance to BR: </w:t>
      </w:r>
      <w:r>
        <w:rPr>
          <w:rFonts w:ascii="Calibri" w:hAnsi="Calibri"/>
          <w:color w:val="525866"/>
          <w:sz w:val="22"/>
        </w:rPr>
        <w:t>Medium-High. ADP is a large-cap fintech/HCM peer with overlapping client base (financial institutions, large enterprises) and similar AI investment thesis. ADP's FY2027 guidance and commentary on AI, pricing, and demand provide a useful macro read-through for BR's financial technology and wealth management segments.</w:t>
      </w:r>
    </w:p>
    <w:p>
      <w:pPr>
        <w:pStyle w:val="ListBullet"/>
        <w:ind w:left="360" w:hanging="360"/>
      </w:pPr>
      <w:r>
        <w:rPr>
          <w:rFonts w:ascii="Calibri" w:hAnsi="Calibri"/>
          <w:b/>
          <w:color w:val="525866"/>
          <w:sz w:val="22"/>
        </w:rPr>
        <w:t xml:space="preserve">Macro / Demand: </w:t>
      </w:r>
      <w:r>
        <w:rPr>
          <w:rFonts w:ascii="Calibri" w:hAnsi="Calibri"/>
          <w:color w:val="525866"/>
          <w:sz w:val="22"/>
        </w:rPr>
        <w:t xml:space="preserve">ADP's FY2027 outlook "assumes a broadly stable macroeconomic environment" with consolidated revenue growth of 5–6%. New business bookings expected to grow 4–7%, described as "broad based across our portfolio, from small business up to our enterprise offerings, both in the US and globally." </w:t>
      </w:r>
    </w:p>
    <w:p>
      <w:pPr>
        <w:pStyle w:val="ListBullet"/>
        <w:ind w:left="360" w:hanging="360"/>
      </w:pPr>
      <w:r>
        <w:rPr>
          <w:rFonts w:ascii="Calibri" w:hAnsi="Calibri"/>
          <w:b/>
          <w:color w:val="525866"/>
          <w:sz w:val="22"/>
        </w:rPr>
        <w:t xml:space="preserve">Read-through to BR: </w:t>
      </w:r>
      <w:r>
        <w:rPr>
          <w:rFonts w:ascii="Calibri" w:hAnsi="Calibri"/>
          <w:i/>
          <w:color w:val="525866"/>
          <w:sz w:val="22"/>
        </w:rPr>
        <w:t>Positive. A stable macro backdrop with broad-based enterprise technology demand supports BR's own guidance for 7%+ recurring revenue growth. Financial institutions — BR's core client base — tend to increase technology spending in stable economic conditions.</w:t>
      </w:r>
    </w:p>
    <w:p>
      <w:pPr>
        <w:pStyle w:val="ListBullet"/>
        <w:ind w:left="360" w:hanging="360"/>
      </w:pPr>
      <w:r>
        <w:rPr>
          <w:rFonts w:ascii="Calibri" w:hAnsi="Calibri"/>
          <w:b/>
          <w:color w:val="525866"/>
          <w:sz w:val="22"/>
        </w:rPr>
        <w:t xml:space="preserve">Limitation: </w:t>
      </w:r>
      <w:r>
        <w:rPr>
          <w:rFonts w:ascii="Calibri" w:hAnsi="Calibri"/>
          <w:i/>
          <w:color w:val="525866"/>
          <w:sz w:val="22"/>
        </w:rPr>
        <w:t>ADP's revenue is more directly tied to employment levels and payroll volumes; BR's revenue is driven by capital markets activity, transaction volumes, and position growth, which can diverge from general employment trends.</w:t>
      </w:r>
    </w:p>
    <w:p>
      <w:pPr>
        <w:pStyle w:val="ListBullet"/>
        <w:ind w:left="360" w:hanging="360"/>
      </w:pPr>
      <w:r>
        <w:rPr>
          <w:rFonts w:ascii="Calibri" w:hAnsi="Calibri"/>
          <w:b/>
          <w:color w:val="525866"/>
          <w:sz w:val="22"/>
        </w:rPr>
        <w:t xml:space="preserve">AI as Revenue Driver: </w:t>
      </w:r>
      <w:r>
        <w:rPr>
          <w:rFonts w:ascii="Calibri" w:hAnsi="Calibri"/>
          <w:color w:val="525866"/>
          <w:sz w:val="22"/>
        </w:rPr>
        <w:t>ADP stated AI is "fueling from a revenue perspective, sales productivity... contributing to bookings, it's contributing to retention, it's contributing to EBIT." ADP Assist agents now available to "nearly all of our more than 1.1 million clients." Management believes they are "still in the early innings" of AI's potential for operational efficiency and margin delivery.</w:t>
      </w:r>
    </w:p>
    <w:p>
      <w:pPr>
        <w:pStyle w:val="ListBullet"/>
        <w:ind w:left="360" w:hanging="360"/>
      </w:pPr>
      <w:r>
        <w:rPr>
          <w:rFonts w:ascii="Calibri" w:hAnsi="Calibri"/>
          <w:b/>
          <w:color w:val="525866"/>
          <w:sz w:val="22"/>
        </w:rPr>
        <w:t xml:space="preserve">Read-through to BR: </w:t>
      </w:r>
      <w:r>
        <w:rPr>
          <w:rFonts w:ascii="Calibri" w:hAnsi="Calibri"/>
          <w:i/>
          <w:color w:val="525866"/>
          <w:sz w:val="22"/>
        </w:rPr>
        <w:t>Positive. ADP's experience validates BR's own AI investment thesis — that AI can simultaneously drive revenue (new products, upsell) and margin expansion (operational efficiency). BR's agentic AI launch (May 11, 2026) and ~25% productivity improvement in managed services align with ADP's reported trajectory.</w:t>
      </w:r>
    </w:p>
    <w:p>
      <w:pPr>
        <w:pStyle w:val="ListBullet"/>
        <w:ind w:left="360" w:hanging="360"/>
      </w:pPr>
      <w:r>
        <w:rPr>
          <w:rFonts w:ascii="Calibri" w:hAnsi="Calibri"/>
          <w:b/>
          <w:color w:val="525866"/>
          <w:sz w:val="22"/>
        </w:rPr>
        <w:t xml:space="preserve">Pricing: </w:t>
      </w:r>
      <w:r>
        <w:rPr>
          <w:rFonts w:ascii="Calibri" w:hAnsi="Calibri"/>
          <w:color w:val="525866"/>
          <w:sz w:val="22"/>
        </w:rPr>
        <w:t>ADP expects "similar levels of revenue growth contribution from price" in FY2027 as FY2026 (~130+ bps), employing a "value-based pricing philosophy prioritizing the lifetime value of client relationships."</w:t>
      </w:r>
    </w:p>
    <w:p>
      <w:pPr>
        <w:pStyle w:val="ListBullet"/>
        <w:ind w:left="360" w:hanging="360"/>
      </w:pPr>
      <w:r>
        <w:rPr>
          <w:rFonts w:ascii="Calibri" w:hAnsi="Calibri"/>
          <w:b/>
          <w:color w:val="525866"/>
          <w:sz w:val="22"/>
        </w:rPr>
        <w:t xml:space="preserve">Read-through to BR: </w:t>
      </w:r>
      <w:r>
        <w:rPr>
          <w:rFonts w:ascii="Calibri" w:hAnsi="Calibri"/>
          <w:i/>
          <w:color w:val="525866"/>
          <w:sz w:val="22"/>
        </w:rPr>
        <w:t>Positive. Sustained pricing power in mission-critical enterprise technology suggests BR can maintain or increase pricing on its own infrastructure services.</w:t>
      </w:r>
    </w:p>
    <w:p>
      <w:pPr>
        <w:pStyle w:val="ListBullet"/>
        <w:ind w:left="360" w:hanging="360"/>
      </w:pPr>
      <w:r>
        <w:rPr>
          <w:rFonts w:ascii="Calibri" w:hAnsi="Calibri"/>
          <w:b/>
          <w:color w:val="525866"/>
          <w:sz w:val="22"/>
        </w:rPr>
        <w:t xml:space="preserve">Margins: </w:t>
      </w:r>
      <w:r>
        <w:rPr>
          <w:rFonts w:ascii="Calibri" w:hAnsi="Calibri"/>
          <w:color w:val="525866"/>
          <w:sz w:val="22"/>
        </w:rPr>
        <w:t>ADP expects consolidated adjusted EBIT margin expansion of 70–90 bps in FY2027, driven by "operational productivity improvements" and AI-driven efficiencies.</w:t>
      </w:r>
    </w:p>
    <w:p>
      <w:pPr>
        <w:pStyle w:val="ListBullet"/>
        <w:ind w:left="360" w:hanging="360"/>
      </w:pPr>
      <w:r>
        <w:rPr>
          <w:rFonts w:ascii="Calibri" w:hAnsi="Calibri"/>
          <w:b/>
          <w:color w:val="525866"/>
          <w:sz w:val="22"/>
        </w:rPr>
        <w:t xml:space="preserve">Read-through to BR: </w:t>
      </w:r>
      <w:r>
        <w:rPr>
          <w:rFonts w:ascii="Calibri" w:hAnsi="Calibri"/>
          <w:i/>
          <w:color w:val="525866"/>
          <w:sz w:val="22"/>
        </w:rPr>
        <w:t>Positive. Margin expansion driven by AI productivity is consistent with BR's own ~50 bps annual margin expansion target.</w:t>
      </w:r>
    </w:p>
    <w:p>
      <w:pPr>
        <w:pStyle w:val="ListBullet"/>
        <w:ind w:left="360" w:hanging="360"/>
      </w:pPr>
      <w:r>
        <w:rPr>
          <w:rFonts w:ascii="Calibri" w:hAnsi="Calibri"/>
          <w:b/>
          <w:color w:val="525866"/>
          <w:sz w:val="22"/>
        </w:rPr>
        <w:t xml:space="preserve">Interest Rates: </w:t>
      </w:r>
      <w:r>
        <w:rPr>
          <w:rFonts w:ascii="Calibri" w:hAnsi="Calibri"/>
          <w:color w:val="525866"/>
          <w:sz w:val="22"/>
        </w:rPr>
        <w:t>ADP expects average yield on client funds to increase from 3.4% in FY2026 to 3.7% in FY2027, contemplating 25–50 bps of Fed funds rate hikes over FY2027.</w:t>
      </w:r>
    </w:p>
    <w:p>
      <w:pPr>
        <w:pStyle w:val="ListBullet"/>
        <w:ind w:left="360" w:hanging="360"/>
      </w:pPr>
      <w:r>
        <w:rPr>
          <w:rFonts w:ascii="Calibri" w:hAnsi="Calibri"/>
          <w:b/>
          <w:color w:val="525866"/>
          <w:sz w:val="22"/>
        </w:rPr>
        <w:t xml:space="preserve">Read-through to BR: </w:t>
      </w:r>
      <w:r>
        <w:rPr>
          <w:rFonts w:ascii="Calibri" w:hAnsi="Calibri"/>
          <w:i/>
          <w:color w:val="525866"/>
          <w:sz w:val="22"/>
        </w:rPr>
        <w:t>Modestly positive. BR also generates float income; a rising rate environment would be a tailwind for BR's interest income line.</w:t>
      </w:r>
    </w:p>
    <w:p>
      <w:pPr>
        <w:pStyle w:val="Heading3"/>
      </w:pPr>
      <w:r>
        <w:rPr>
          <w:rFonts w:ascii="Calibri" w:hAnsi="Calibri"/>
          <w:b/>
          <w:color w:val="3B4259"/>
          <w:sz w:val="24"/>
        </w:rPr>
        <w:t>6.2 FactSet Research Systems (FDS) (Reported July 1, 2026 — FQ3 2026 Results &amp; FQ4 Outlook)</w:t>
      </w:r>
    </w:p>
    <w:p>
      <w:r>
        <w:rPr>
          <w:rFonts w:ascii="Calibri" w:hAnsi="Calibri"/>
          <w:b/>
          <w:color w:val="525866"/>
          <w:sz w:val="22"/>
        </w:rPr>
        <w:t xml:space="preserve">Relevance to BR: </w:t>
      </w:r>
      <w:r>
        <w:rPr>
          <w:rFonts w:ascii="Calibri" w:hAnsi="Calibri"/>
          <w:color w:val="525866"/>
          <w:sz w:val="22"/>
        </w:rPr>
        <w:t>High. FactSet is a direct peer in financial data and technology services, serving overlapping clients (asset managers, banks, hedge funds). FDS's commentary on AI monetization, wealth management technology spending, and contract terms is highly relevant to BR's ICS and GTO segments.</w:t>
      </w:r>
    </w:p>
    <w:p>
      <w:pPr>
        <w:pStyle w:val="ListBullet"/>
        <w:ind w:left="360" w:hanging="360"/>
      </w:pPr>
      <w:r>
        <w:rPr>
          <w:rFonts w:ascii="Calibri" w:hAnsi="Calibri"/>
          <w:b/>
          <w:color w:val="525866"/>
          <w:sz w:val="22"/>
        </w:rPr>
        <w:t xml:space="preserve">Demand / Pipeline: </w:t>
      </w:r>
      <w:r>
        <w:rPr>
          <w:rFonts w:ascii="Calibri" w:hAnsi="Calibri"/>
          <w:color w:val="525866"/>
          <w:sz w:val="22"/>
        </w:rPr>
        <w:t>FDS CEO stated "the momentum continues into Q4... we continue to see a strong, diverse pipeline of clients... broad based, across regions and across all of the different client types." As of "end of June, early July, we are ahead of last year in terms of our bookings" with a pipeline "as robust as we saw at this time last year."</w:t>
      </w:r>
    </w:p>
    <w:p>
      <w:pPr>
        <w:pStyle w:val="ListBullet"/>
        <w:ind w:left="360" w:hanging="360"/>
      </w:pPr>
      <w:r>
        <w:rPr>
          <w:rFonts w:ascii="Calibri" w:hAnsi="Calibri"/>
          <w:b/>
          <w:color w:val="525866"/>
          <w:sz w:val="22"/>
        </w:rPr>
        <w:t xml:space="preserve">Read-through to BR: </w:t>
      </w:r>
      <w:r>
        <w:rPr>
          <w:rFonts w:ascii="Calibri" w:hAnsi="Calibri"/>
          <w:i/>
          <w:color w:val="525866"/>
          <w:sz w:val="22"/>
        </w:rPr>
        <w:t>Positive. Broad-based demand across client types and geographies in financial technology supports BR's own pipeline commentary (record &gt;$1B pipeline, 25% YoY origination growth). The healthy FDS pipeline suggests the elongated deal cycles BR cited are timing-related rather than a secular demand issue.</w:t>
      </w:r>
    </w:p>
    <w:p>
      <w:pPr>
        <w:pStyle w:val="ListBullet"/>
        <w:ind w:left="360" w:hanging="360"/>
      </w:pPr>
      <w:r>
        <w:rPr>
          <w:rFonts w:ascii="Calibri" w:hAnsi="Calibri"/>
          <w:b/>
          <w:color w:val="525866"/>
          <w:sz w:val="22"/>
        </w:rPr>
        <w:t xml:space="preserve">AI Monetization: </w:t>
      </w:r>
      <w:r>
        <w:rPr>
          <w:rFonts w:ascii="Calibri" w:hAnsi="Calibri"/>
          <w:color w:val="525866"/>
          <w:sz w:val="22"/>
        </w:rPr>
        <w:t>"AI is a tailwind for us." Over 10% of ASV growth came directly from AI SKUs. One top-10 bank "literally doubled their data subscriptions with us because of AI" on multi-year contracts. Over 20% of top 100 clients using MCP on a paid basis. FDS is seeing "more client interest in consumption-oriented pricing, particularly for emerging AI-enabled offerings."</w:t>
      </w:r>
    </w:p>
    <w:p>
      <w:pPr>
        <w:pStyle w:val="ListBullet"/>
        <w:ind w:left="360" w:hanging="360"/>
      </w:pPr>
      <w:r>
        <w:rPr>
          <w:rFonts w:ascii="Calibri" w:hAnsi="Calibri"/>
          <w:b/>
          <w:color w:val="525866"/>
          <w:sz w:val="22"/>
        </w:rPr>
        <w:t xml:space="preserve">Read-through to BR: </w:t>
      </w:r>
      <w:r>
        <w:rPr>
          <w:rFonts w:ascii="Calibri" w:hAnsi="Calibri"/>
          <w:i/>
          <w:color w:val="525866"/>
          <w:sz w:val="22"/>
        </w:rPr>
        <w:t>Highly positive. This is the most directly relevant read-through for BR's AI strategy. FDS demonstrates that financial institutions are not only adopting AI but are willing to significantly increase spending and commit to multi-year contracts for AI-driven solutions. BR's agentic AI platform (launched May 11, 2026) and AI-native custom policy voting engine ($800B AUM) are positioned to capture similar incremental spend.</w:t>
      </w:r>
    </w:p>
    <w:p>
      <w:pPr>
        <w:pStyle w:val="ListBullet"/>
        <w:ind w:left="360" w:hanging="360"/>
      </w:pPr>
      <w:r>
        <w:rPr>
          <w:rFonts w:ascii="Calibri" w:hAnsi="Calibri"/>
          <w:b/>
          <w:color w:val="525866"/>
          <w:sz w:val="22"/>
        </w:rPr>
        <w:t xml:space="preserve">Contract Terms / Pricing: </w:t>
      </w:r>
      <w:r>
        <w:rPr>
          <w:rFonts w:ascii="Calibri" w:hAnsi="Calibri"/>
          <w:color w:val="525866"/>
          <w:sz w:val="22"/>
        </w:rPr>
        <w:t>"The majority of ASV renewed in Q3 was in the form of enterprise agreements, or renewed for durations of three years or more. Average contract term extended by roughly 30% while broadly preserving pricing." FDS is "not taking any price compression in return for the contract extensions." Price increases in Q3 were "better than what we were able to achieve at the same quarter last year."</w:t>
      </w:r>
    </w:p>
    <w:p>
      <w:pPr>
        <w:pStyle w:val="ListBullet"/>
        <w:ind w:left="360" w:hanging="360"/>
      </w:pPr>
      <w:r>
        <w:rPr>
          <w:rFonts w:ascii="Calibri" w:hAnsi="Calibri"/>
          <w:b/>
          <w:color w:val="525866"/>
          <w:sz w:val="22"/>
        </w:rPr>
        <w:t xml:space="preserve">Read-through to BR: </w:t>
      </w:r>
      <w:r>
        <w:rPr>
          <w:rFonts w:ascii="Calibri" w:hAnsi="Calibri"/>
          <w:i/>
          <w:color w:val="525866"/>
          <w:sz w:val="22"/>
        </w:rPr>
        <w:t>Positive. Longer-duration enterprise agreements without price compression suggest financial institutions perceive significant value in mission-critical technology platforms — consistent with BR's own high retention rates and sticky client relationships.</w:t>
      </w:r>
    </w:p>
    <w:p>
      <w:pPr>
        <w:pStyle w:val="ListBullet"/>
        <w:ind w:left="360" w:hanging="360"/>
      </w:pPr>
      <w:r>
        <w:rPr>
          <w:rFonts w:ascii="Calibri" w:hAnsi="Calibri"/>
          <w:b/>
          <w:color w:val="525866"/>
          <w:sz w:val="22"/>
        </w:rPr>
        <w:t xml:space="preserve">Wealth Management: </w:t>
      </w:r>
      <w:r>
        <w:rPr>
          <w:rFonts w:ascii="Calibri" w:hAnsi="Calibri"/>
          <w:color w:val="525866"/>
          <w:sz w:val="22"/>
        </w:rPr>
        <w:t>"Wealth remains our fastest growing category and delivered 10% organic ASV growth." Management sees "exciting opportunity... to power up the advisor experience, which is certainly going through a transformation."</w:t>
      </w:r>
    </w:p>
    <w:p>
      <w:pPr>
        <w:pStyle w:val="ListBullet"/>
        <w:ind w:left="360" w:hanging="360"/>
      </w:pPr>
      <w:r>
        <w:rPr>
          <w:rFonts w:ascii="Calibri" w:hAnsi="Calibri"/>
          <w:b/>
          <w:color w:val="525866"/>
          <w:sz w:val="22"/>
        </w:rPr>
        <w:t xml:space="preserve">Read-through to BR: </w:t>
      </w:r>
      <w:r>
        <w:rPr>
          <w:rFonts w:ascii="Calibri" w:hAnsi="Calibri"/>
          <w:i/>
          <w:color w:val="525866"/>
          <w:sz w:val="22"/>
        </w:rPr>
        <w:t>Highly positive. 10% organic growth in wealth management technology directly supports BR's GTO wealth and investment management segment (grew 8% in Q3 FY2026) and validates the investment thesis around BR's wealth platform pipeline.</w:t>
      </w:r>
    </w:p>
    <w:p>
      <w:pPr>
        <w:pStyle w:val="ListBullet"/>
        <w:ind w:left="360" w:hanging="360"/>
      </w:pPr>
      <w:r>
        <w:rPr>
          <w:rFonts w:ascii="Calibri" w:hAnsi="Calibri"/>
          <w:b/>
          <w:color w:val="525866"/>
          <w:sz w:val="22"/>
        </w:rPr>
        <w:t xml:space="preserve">AI Efficiency / Headcount: </w:t>
      </w:r>
      <w:r>
        <w:rPr>
          <w:rFonts w:ascii="Calibri" w:hAnsi="Calibri"/>
          <w:color w:val="525866"/>
          <w:sz w:val="22"/>
        </w:rPr>
        <w:t>FDS initiated a ~10% reduction in technology workforce due to AI efficiency gains, "freed up significant capacity to accelerate strategic product development." Token spending has increased year-over-year as a new cost line item.</w:t>
      </w:r>
    </w:p>
    <w:p>
      <w:pPr>
        <w:pStyle w:val="ListBullet"/>
        <w:ind w:left="360" w:hanging="360"/>
      </w:pPr>
      <w:r>
        <w:rPr>
          <w:rFonts w:ascii="Calibri" w:hAnsi="Calibri"/>
          <w:b/>
          <w:color w:val="525866"/>
          <w:sz w:val="22"/>
        </w:rPr>
        <w:t xml:space="preserve">Read-through to BR: </w:t>
      </w:r>
      <w:r>
        <w:rPr>
          <w:rFonts w:ascii="Calibri" w:hAnsi="Calibri"/>
          <w:i/>
          <w:color w:val="525866"/>
          <w:sz w:val="22"/>
        </w:rPr>
        <w:t>Mixed. AI-driven productivity gains support BR's margin expansion thesis, but the emergence of token costs as a new expense line is a watch item for BR's own AI infrastructure costs.</w:t>
      </w:r>
    </w:p>
    <w:p>
      <w:pPr>
        <w:pStyle w:val="Heading3"/>
      </w:pPr>
      <w:r>
        <w:rPr>
          <w:rFonts w:ascii="Calibri" w:hAnsi="Calibri"/>
          <w:b/>
          <w:color w:val="3B4259"/>
          <w:sz w:val="24"/>
        </w:rPr>
        <w:t>6.3 SS&amp;C Technologies (SSNC) (Reported July 23, 2026 — Q2 2026 Results &amp; H2 Outlook)</w:t>
      </w:r>
    </w:p>
    <w:p>
      <w:r>
        <w:rPr>
          <w:rFonts w:ascii="Calibri" w:hAnsi="Calibri"/>
          <w:b/>
          <w:color w:val="525866"/>
          <w:sz w:val="22"/>
        </w:rPr>
        <w:t xml:space="preserve">Relevance to BR: </w:t>
      </w:r>
      <w:r>
        <w:rPr>
          <w:rFonts w:ascii="Calibri" w:hAnsi="Calibri"/>
          <w:color w:val="525866"/>
          <w:sz w:val="22"/>
        </w:rPr>
        <w:t>High. SS&amp;C is a direct competitor and peer in financial technology, fund administration, and wealth management. SSNC's commentary on outsourcing demand, tokenization infrastructure, and AI-driven margin expansion is directly relevant to BR's GTO and ICS segments.</w:t>
      </w:r>
    </w:p>
    <w:p>
      <w:pPr>
        <w:pStyle w:val="ListBullet"/>
        <w:ind w:left="360" w:hanging="360"/>
      </w:pPr>
      <w:r>
        <w:rPr>
          <w:rFonts w:ascii="Calibri" w:hAnsi="Calibri"/>
          <w:b/>
          <w:color w:val="525866"/>
          <w:sz w:val="22"/>
        </w:rPr>
        <w:t xml:space="preserve">Demand / Pipeline: </w:t>
      </w:r>
      <w:r>
        <w:rPr>
          <w:rFonts w:ascii="Calibri" w:hAnsi="Calibri"/>
          <w:color w:val="525866"/>
          <w:sz w:val="22"/>
        </w:rPr>
        <w:t>SSNC reported "robust demand in healthy pipelines internationally as well as here in North America." Seeing "momentum in multi-year technology license renewals across our client base, reflecting the confidence clients have in our platforms and long-term roadmap." Pipeline is "full of opportunities" with renewals coming up.</w:t>
      </w:r>
    </w:p>
    <w:p>
      <w:pPr>
        <w:pStyle w:val="ListBullet"/>
        <w:ind w:left="360" w:hanging="360"/>
      </w:pPr>
      <w:r>
        <w:rPr>
          <w:rFonts w:ascii="Calibri" w:hAnsi="Calibri"/>
          <w:b/>
          <w:color w:val="525866"/>
          <w:sz w:val="22"/>
        </w:rPr>
        <w:t xml:space="preserve">Read-through to BR: </w:t>
      </w:r>
      <w:r>
        <w:rPr>
          <w:rFonts w:ascii="Calibri" w:hAnsi="Calibri"/>
          <w:i/>
          <w:color w:val="525866"/>
          <w:sz w:val="22"/>
        </w:rPr>
        <w:t>Positive. Robust demand for financial technology platforms globally, with multi-year license renewals, supports BR's own pipeline commentary and the thesis that elongated deal cycles reflect deal complexity rather than demand weakness.</w:t>
      </w:r>
    </w:p>
    <w:p>
      <w:pPr>
        <w:pStyle w:val="ListBullet"/>
        <w:ind w:left="360" w:hanging="360"/>
      </w:pPr>
      <w:r>
        <w:rPr>
          <w:rFonts w:ascii="Calibri" w:hAnsi="Calibri"/>
          <w:b/>
          <w:color w:val="525866"/>
          <w:sz w:val="22"/>
        </w:rPr>
        <w:t xml:space="preserve">AI / Outsourcing Demand: </w:t>
      </w:r>
      <w:r>
        <w:rPr>
          <w:rFonts w:ascii="Calibri" w:hAnsi="Calibri"/>
          <w:color w:val="525866"/>
          <w:sz w:val="22"/>
        </w:rPr>
        <w:t>"Rapid technological innovation is pushing customers towards SS&amp;C as they look for a partner to help them take advantage of the latest technologies." Demand for outsourcing is picking up "as AI raises the need for companies to modernize." Clients "want to take advantage of AI... rather than try to put that all internally and build it from scratch, the fact that we can deploy it in a very scalable way has been positive for us."</w:t>
      </w:r>
    </w:p>
    <w:p>
      <w:pPr>
        <w:pStyle w:val="ListBullet"/>
        <w:ind w:left="360" w:hanging="360"/>
      </w:pPr>
      <w:r>
        <w:rPr>
          <w:rFonts w:ascii="Calibri" w:hAnsi="Calibri"/>
          <w:b/>
          <w:color w:val="525866"/>
          <w:sz w:val="22"/>
        </w:rPr>
        <w:t xml:space="preserve">Read-through to BR: </w:t>
      </w:r>
      <w:r>
        <w:rPr>
          <w:rFonts w:ascii="Calibri" w:hAnsi="Calibri"/>
          <w:i/>
          <w:color w:val="525866"/>
          <w:sz w:val="22"/>
        </w:rPr>
        <w:t>Highly positive. This directly validates BR's managed services / agentic AI strategy — offering clients 25–30% upfront operational savings by outsourcing to BR's AI-powered platform. The trend of clients preferring to partner with scaled technology providers rather than build AI capabilities internally is a structural tailwind for BR's GTO managed services business.</w:t>
      </w:r>
    </w:p>
    <w:p>
      <w:pPr>
        <w:pStyle w:val="ListBullet"/>
        <w:ind w:left="360" w:hanging="360"/>
      </w:pPr>
      <w:r>
        <w:rPr>
          <w:rFonts w:ascii="Calibri" w:hAnsi="Calibri"/>
          <w:b/>
          <w:color w:val="525866"/>
          <w:sz w:val="22"/>
        </w:rPr>
        <w:t xml:space="preserve">Tokenization Infrastructure: </w:t>
      </w:r>
      <w:r>
        <w:rPr>
          <w:rFonts w:ascii="Calibri" w:hAnsi="Calibri"/>
          <w:color w:val="525866"/>
          <w:sz w:val="22"/>
        </w:rPr>
        <w:t>SSNC is investing in solutions for digital investment markets through its Calstone acquisition, enabling "digital investment transactions to settle using regulated forms of digital cash, including stablecoins and tokenized commercial bank deposits." Management expects to "capture more market share" in tokenized fund infrastructure.</w:t>
      </w:r>
    </w:p>
    <w:p>
      <w:pPr>
        <w:pStyle w:val="ListBullet"/>
        <w:ind w:left="360" w:hanging="360"/>
      </w:pPr>
      <w:r>
        <w:rPr>
          <w:rFonts w:ascii="Calibri" w:hAnsi="Calibri"/>
          <w:b/>
          <w:color w:val="525866"/>
          <w:sz w:val="22"/>
        </w:rPr>
        <w:t xml:space="preserve">Read-through to BR: </w:t>
      </w:r>
      <w:r>
        <w:rPr>
          <w:rFonts w:ascii="Calibri" w:hAnsi="Calibri"/>
          <w:i/>
          <w:color w:val="525866"/>
          <w:sz w:val="22"/>
        </w:rPr>
        <w:t>Positive but competitive. SSNC's investment in tokenization infrastructure confirms the market opportunity BR is pursuing with DLR ($365B/day) and its on-chain governance solutions. However, SSNC's entry into tokenized fund settlement represents a competitive dynamic in an adjacent space.</w:t>
      </w:r>
    </w:p>
    <w:p>
      <w:pPr>
        <w:pStyle w:val="ListBullet"/>
        <w:ind w:left="360" w:hanging="360"/>
      </w:pPr>
      <w:r>
        <w:rPr>
          <w:rFonts w:ascii="Calibri" w:hAnsi="Calibri"/>
          <w:b/>
          <w:color w:val="525866"/>
          <w:sz w:val="22"/>
        </w:rPr>
        <w:t xml:space="preserve">Margins: </w:t>
      </w:r>
      <w:r>
        <w:rPr>
          <w:rFonts w:ascii="Calibri" w:hAnsi="Calibri"/>
          <w:color w:val="525866"/>
          <w:sz w:val="22"/>
        </w:rPr>
        <w:t>SSNC expects "EBITDA margin expansion of 50 basis points with the goal of a 40% margin in Q4" for FY2026. AI is "one of the drivers of the growth and margin expansion." Management sees "very, very material ways to improve our margins through adaptation of AI agents and other technologies."</w:t>
      </w:r>
    </w:p>
    <w:p>
      <w:pPr>
        <w:pStyle w:val="ListBullet"/>
        <w:ind w:left="360" w:hanging="360"/>
      </w:pPr>
      <w:r>
        <w:rPr>
          <w:rFonts w:ascii="Calibri" w:hAnsi="Calibri"/>
          <w:b/>
          <w:color w:val="525866"/>
          <w:sz w:val="22"/>
        </w:rPr>
        <w:t xml:space="preserve">Read-through to BR: </w:t>
      </w:r>
      <w:r>
        <w:rPr>
          <w:rFonts w:ascii="Calibri" w:hAnsi="Calibri"/>
          <w:i/>
          <w:color w:val="525866"/>
          <w:sz w:val="22"/>
        </w:rPr>
        <w:t>Positive. Consistent with BR's own ~50 bps annual margin expansion target driven by AI productivity gains.</w:t>
      </w:r>
    </w:p>
    <w:p>
      <w:pPr>
        <w:pStyle w:val="ListBullet"/>
        <w:ind w:left="360" w:hanging="360"/>
      </w:pPr>
      <w:r>
        <w:rPr>
          <w:rFonts w:ascii="Calibri" w:hAnsi="Calibri"/>
          <w:b/>
          <w:color w:val="525866"/>
          <w:sz w:val="22"/>
        </w:rPr>
        <w:t xml:space="preserve">Hedge Fund / Asset Manager Activity: </w:t>
      </w:r>
      <w:r>
        <w:rPr>
          <w:rFonts w:ascii="Calibri" w:hAnsi="Calibri"/>
          <w:color w:val="525866"/>
          <w:sz w:val="22"/>
        </w:rPr>
        <w:t>SSNC's hedge fund redemption index was at 1.35, "about the lowest we've had in the history of having this thing" since 2009. Assets under administration in fund administration up $581B over the last two years.</w:t>
      </w:r>
    </w:p>
    <w:p>
      <w:pPr>
        <w:pStyle w:val="ListBullet"/>
        <w:ind w:left="360" w:hanging="360"/>
      </w:pPr>
      <w:r>
        <w:rPr>
          <w:rFonts w:ascii="Calibri" w:hAnsi="Calibri"/>
          <w:b/>
          <w:color w:val="525866"/>
          <w:sz w:val="22"/>
        </w:rPr>
        <w:t xml:space="preserve">Read-through to BR: </w:t>
      </w:r>
      <w:r>
        <w:rPr>
          <w:rFonts w:ascii="Calibri" w:hAnsi="Calibri"/>
          <w:i/>
          <w:color w:val="525866"/>
          <w:sz w:val="22"/>
        </w:rPr>
        <w:t>Positive. Strong hedge fund and asset manager activity supports BR's ICS regulatory revenue (more positions, more communications) and GTO capital markets volumes.</w:t>
      </w:r>
    </w:p>
    <w:p>
      <w:pPr>
        <w:pStyle w:val="ListBullet"/>
        <w:ind w:left="360" w:hanging="360"/>
      </w:pPr>
      <w:r>
        <w:rPr>
          <w:rFonts w:ascii="Calibri" w:hAnsi="Calibri"/>
          <w:b/>
          <w:color w:val="525866"/>
          <w:sz w:val="22"/>
        </w:rPr>
        <w:t xml:space="preserve">Full-Year 2026 Guidance (raised July 23): </w:t>
      </w:r>
      <w:r>
        <w:rPr>
          <w:rFonts w:ascii="Calibri" w:hAnsi="Calibri"/>
          <w:color w:val="525866"/>
          <w:sz w:val="22"/>
        </w:rPr>
        <w:t>Revenue $6.67–$6.83B (5.5% organic growth at midpoint); EBITDA growth of 9.3%; adjusted diluted EPS $6.93–$7.25 (~15.5% growth at midpoint). Assumes "short-term interest rates remain at current levels."</w:t>
      </w:r>
    </w:p>
    <w:p>
      <w:pPr>
        <w:pStyle w:val="ListBullet"/>
        <w:ind w:left="360" w:hanging="360"/>
      </w:pPr>
      <w:r>
        <w:rPr>
          <w:rFonts w:ascii="Calibri" w:hAnsi="Calibri"/>
          <w:b/>
          <w:color w:val="525866"/>
          <w:sz w:val="22"/>
        </w:rPr>
        <w:t xml:space="preserve">Read-through to BR: </w:t>
      </w:r>
      <w:r>
        <w:rPr>
          <w:rFonts w:ascii="Calibri" w:hAnsi="Calibri"/>
          <w:i/>
          <w:color w:val="525866"/>
          <w:sz w:val="22"/>
        </w:rPr>
        <w:t>Positive. SSNC raising guidance and delivering strong organic growth in financial technology services is a positive read-through for the sector broadly and for BR's own guidance framework.</w:t>
      </w:r>
    </w:p>
    <w:p>
      <w:pPr>
        <w:pStyle w:val="Heading3"/>
      </w:pPr>
      <w:r>
        <w:rPr>
          <w:rFonts w:ascii="Calibri" w:hAnsi="Calibri"/>
          <w:b/>
          <w:color w:val="3B4259"/>
          <w:sz w:val="24"/>
        </w:rPr>
        <w:t>6.4 Paychex (PAYX) (Reported June 24, 2026 — FY2027 Outlook)</w:t>
      </w:r>
    </w:p>
    <w:p>
      <w:r>
        <w:rPr>
          <w:rFonts w:ascii="Calibri" w:hAnsi="Calibri"/>
          <w:b/>
          <w:color w:val="525866"/>
          <w:sz w:val="22"/>
        </w:rPr>
        <w:t xml:space="preserve">Relevance to BR: </w:t>
      </w:r>
      <w:r>
        <w:rPr>
          <w:rFonts w:ascii="Calibri" w:hAnsi="Calibri"/>
          <w:color w:val="525866"/>
          <w:sz w:val="22"/>
        </w:rPr>
        <w:t>Medium-Low. Paychex is a large-cap HCM/payroll peer with limited direct overlap with BR's financial markets infrastructure business. Read-through is primarily on macro stability, AI adoption, and pricing power in enterprise technology.</w:t>
      </w:r>
    </w:p>
    <w:p>
      <w:pPr>
        <w:pStyle w:val="ListBullet"/>
        <w:ind w:left="360" w:hanging="360"/>
      </w:pPr>
      <w:r>
        <w:rPr>
          <w:rFonts w:ascii="Calibri" w:hAnsi="Calibri"/>
          <w:b/>
          <w:color w:val="525866"/>
          <w:sz w:val="22"/>
        </w:rPr>
        <w:t xml:space="preserve">Macro: </w:t>
      </w:r>
      <w:r>
        <w:rPr>
          <w:rFonts w:ascii="Calibri" w:hAnsi="Calibri"/>
          <w:color w:val="525866"/>
          <w:sz w:val="22"/>
        </w:rPr>
        <w:t>"The macro environment, despite all the potential challenges that we have going on globally around us, has been stable, no signs of recession." FY2027 outlook assumes "employment levels will continue to remain flat." Total revenue growth guided at 5–6%.</w:t>
      </w:r>
    </w:p>
    <w:p>
      <w:pPr>
        <w:pStyle w:val="ListBullet"/>
        <w:ind w:left="360" w:hanging="360"/>
      </w:pPr>
      <w:r>
        <w:rPr>
          <w:rFonts w:ascii="Calibri" w:hAnsi="Calibri"/>
          <w:b/>
          <w:color w:val="525866"/>
          <w:sz w:val="22"/>
        </w:rPr>
        <w:t xml:space="preserve">Read-through to BR: </w:t>
      </w:r>
      <w:r>
        <w:rPr>
          <w:rFonts w:ascii="Calibri" w:hAnsi="Calibri"/>
          <w:i/>
          <w:color w:val="525866"/>
          <w:sz w:val="22"/>
        </w:rPr>
        <w:t>Modestly positive. A stable macro with no recession signals supports financial institution spending on technology. However, BR's revenue is more directly tied to capital markets activity and position growth than to employment levels.</w:t>
      </w:r>
    </w:p>
    <w:p>
      <w:pPr>
        <w:pStyle w:val="ListBullet"/>
        <w:ind w:left="360" w:hanging="360"/>
      </w:pPr>
      <w:r>
        <w:rPr>
          <w:rFonts w:ascii="Calibri" w:hAnsi="Calibri"/>
          <w:b/>
          <w:color w:val="525866"/>
          <w:sz w:val="22"/>
        </w:rPr>
        <w:t xml:space="preserve">Bookings / Demand: </w:t>
      </w:r>
      <w:r>
        <w:rPr>
          <w:rFonts w:ascii="Calibri" w:hAnsi="Calibri"/>
          <w:color w:val="525866"/>
          <w:sz w:val="22"/>
        </w:rPr>
        <w:t>"Strong momentum in bookings" with Q4 FY2026 "better than the third quarter," which was "the best I've seen in 13 years here." Described as "broad based across many categories."</w:t>
      </w:r>
    </w:p>
    <w:p>
      <w:pPr>
        <w:pStyle w:val="ListBullet"/>
        <w:ind w:left="360" w:hanging="360"/>
      </w:pPr>
      <w:r>
        <w:rPr>
          <w:rFonts w:ascii="Calibri" w:hAnsi="Calibri"/>
          <w:b/>
          <w:color w:val="525866"/>
          <w:sz w:val="22"/>
        </w:rPr>
        <w:t xml:space="preserve">Read-through to BR: </w:t>
      </w:r>
      <w:r>
        <w:rPr>
          <w:rFonts w:ascii="Calibri" w:hAnsi="Calibri"/>
          <w:i/>
          <w:color w:val="525866"/>
          <w:sz w:val="22"/>
        </w:rPr>
        <w:t>Modestly positive. Strong enterprise technology bookings momentum broadly supports the demand environment for BR's solutions, though the specific drivers differ.</w:t>
      </w:r>
    </w:p>
    <w:p>
      <w:pPr>
        <w:pStyle w:val="ListBullet"/>
        <w:ind w:left="360" w:hanging="360"/>
      </w:pPr>
      <w:r>
        <w:rPr>
          <w:rFonts w:ascii="Calibri" w:hAnsi="Calibri"/>
          <w:b/>
          <w:color w:val="525866"/>
          <w:sz w:val="22"/>
        </w:rPr>
        <w:t xml:space="preserve">AI: </w:t>
      </w:r>
      <w:r>
        <w:rPr>
          <w:rFonts w:ascii="Calibri" w:hAnsi="Calibri"/>
          <w:color w:val="525866"/>
          <w:sz w:val="22"/>
        </w:rPr>
        <w:t>Paychex launched "Wyze" AI engine powering ~600 AI features. Expects AI to be a "meaningful driver of long-term value creation through direct monetization opportunities, as well as indirect benefits, including stronger upsell, higher revenue per client, improved retention, and greater pricing power."</w:t>
      </w:r>
    </w:p>
    <w:p>
      <w:pPr>
        <w:pStyle w:val="ListBullet"/>
        <w:ind w:left="360" w:hanging="360"/>
      </w:pPr>
      <w:r>
        <w:rPr>
          <w:rFonts w:ascii="Calibri" w:hAnsi="Calibri"/>
          <w:b/>
          <w:color w:val="525866"/>
          <w:sz w:val="22"/>
        </w:rPr>
        <w:t xml:space="preserve">Read-through to BR: </w:t>
      </w:r>
      <w:r>
        <w:rPr>
          <w:rFonts w:ascii="Calibri" w:hAnsi="Calibri"/>
          <w:i/>
          <w:color w:val="525866"/>
          <w:sz w:val="22"/>
        </w:rPr>
        <w:t>Modestly positive. Validates the broader enterprise AI monetization thesis, though Paychex's specific use cases (HR/payroll automation) differ from BR's financial markets applications.</w:t>
      </w:r>
    </w:p>
    <w:p>
      <w:pPr>
        <w:pStyle w:val="ListBullet"/>
        <w:ind w:left="360" w:hanging="360"/>
      </w:pPr>
      <w:r>
        <w:rPr>
          <w:rFonts w:ascii="Calibri" w:hAnsi="Calibri"/>
          <w:b/>
          <w:color w:val="525866"/>
          <w:sz w:val="22"/>
        </w:rPr>
        <w:t xml:space="preserve">Margins: </w:t>
      </w:r>
      <w:r>
        <w:rPr>
          <w:rFonts w:ascii="Calibri" w:hAnsi="Calibri"/>
          <w:color w:val="525866"/>
          <w:sz w:val="22"/>
        </w:rPr>
        <w:t>Adjusted operating income margins expected at ~44% for FY2027. AI-driven error prevention and proactive issue identification cited as significant cost reduction drivers.</w:t>
      </w:r>
    </w:p>
    <w:p>
      <w:pPr>
        <w:pStyle w:val="ListBullet"/>
        <w:ind w:left="360" w:hanging="360"/>
      </w:pPr>
      <w:r>
        <w:rPr>
          <w:rFonts w:ascii="Calibri" w:hAnsi="Calibri"/>
          <w:b/>
          <w:color w:val="525866"/>
          <w:sz w:val="22"/>
        </w:rPr>
        <w:t xml:space="preserve">Read-through to BR: </w:t>
      </w:r>
      <w:r>
        <w:rPr>
          <w:rFonts w:ascii="Calibri" w:hAnsi="Calibri"/>
          <w:i/>
          <w:color w:val="525866"/>
          <w:sz w:val="22"/>
        </w:rPr>
        <w:t>Modestly positive. Demonstrates that AI-driven operational efficiency can sustain high margins even with ongoing investment, consistent with BR's margin expansion trajectory.</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material post-earnings development is the </w:t>
      </w:r>
      <w:r>
        <w:rPr>
          <w:rFonts w:ascii="Calibri" w:hAnsi="Calibri"/>
          <w:b/>
          <w:color w:val="525866"/>
          <w:sz w:val="22"/>
        </w:rPr>
        <w:t>May 15, 2026 $500M senior notes offering</w:t>
      </w:r>
      <w:r>
        <w:rPr>
          <w:rFonts w:ascii="Calibri" w:hAnsi="Calibri"/>
          <w:color w:val="525866"/>
          <w:sz w:val="22"/>
        </w:rPr>
        <w:t xml:space="preserve"> (5.750% due 2036), which extends BR's debt maturity profile and signals financial flexibility. Multiple strategic product launches in tokenization and AI since the Q3 print reinforce the long-term growth narrative but are unlikely to move Q4 numbers materially.</w:t>
      </w:r>
    </w:p>
    <w:p>
      <w:pPr>
        <w:pStyle w:val="ListBullet"/>
        <w:ind w:left="360" w:hanging="360"/>
      </w:pPr>
      <w:r>
        <w:rPr>
          <w:rFonts w:ascii="Calibri" w:hAnsi="Calibri"/>
          <w:b/>
          <w:color w:val="525866"/>
          <w:sz w:val="22"/>
        </w:rPr>
        <w:t xml:space="preserve">May 15, 2026 — $500M Senior Notes Offering Closed (8-K filed May 15, 2026): </w:t>
      </w:r>
      <w:r>
        <w:rPr>
          <w:rFonts w:ascii="Calibri" w:hAnsi="Calibri"/>
          <w:color w:val="525866"/>
          <w:sz w:val="22"/>
        </w:rPr>
        <w:t>Broadridge closed a $500M offering of 5.750% Senior Notes due May 15, 2036. Proceeds used to repay nearer-term outstanding notes, extending the maturity profile. Underwritten by J.P. Morgan, BofA, Morgan Stanley, and Wells Fargo. Implication: Neutral to modestly positive — demonstrates access to capital markets at reasonable rates and reduces near-term refinancing risk; leverage ratio remains at 1.9x, below the 2.0–2.5x target range.</w:t>
      </w:r>
    </w:p>
    <w:p>
      <w:pPr>
        <w:pStyle w:val="ListBullet"/>
        <w:ind w:left="360" w:hanging="360"/>
      </w:pPr>
      <w:r>
        <w:rPr>
          <w:rFonts w:ascii="Calibri" w:hAnsi="Calibri"/>
          <w:b/>
          <w:color w:val="525866"/>
          <w:sz w:val="22"/>
        </w:rPr>
        <w:t xml:space="preserve">May 11, 2026 — Agentic AI Platform Launched in Production: </w:t>
      </w:r>
      <w:r>
        <w:rPr>
          <w:rFonts w:ascii="Calibri" w:hAnsi="Calibri"/>
          <w:color w:val="525866"/>
          <w:sz w:val="22"/>
        </w:rPr>
        <w:t>Broadridge announced the formal launch of its agentic AI layer across capital markets and wealth workflows, offering two client deployment paths: (1) full managed service delivering ~25–30% upfront operational savings, and (2) standalone platform deployment via open-standard APIs. Management reports ~25% productivity improvement already achieved in managed services with "clear line of sight to the next 25%." Implication: Positive for long-term GTO managed services growth; unlikely to contribute materially to Q4 FY2026 revenue but supports the FY2027 growth narrative.</w:t>
      </w:r>
    </w:p>
    <w:p>
      <w:pPr>
        <w:pStyle w:val="ListBullet"/>
        <w:ind w:left="360" w:hanging="360"/>
      </w:pPr>
      <w:r>
        <w:rPr>
          <w:rFonts w:ascii="Calibri" w:hAnsi="Calibri"/>
          <w:b/>
          <w:color w:val="525866"/>
          <w:sz w:val="22"/>
        </w:rPr>
        <w:t xml:space="preserve">May 5, 2026 — Comprehensive Tokenized Equity Governance Solution Announced: </w:t>
      </w:r>
      <w:r>
        <w:rPr>
          <w:rFonts w:ascii="Calibri" w:hAnsi="Calibri"/>
          <w:color w:val="525866"/>
          <w:sz w:val="22"/>
        </w:rPr>
        <w:t>Broadridge announced a comprehensive solution covering all three SEC-outlined tokenization models: (1) issuer-native (Galaxy — first on-chain proxy voting for a U.S. public company, completed in May 2026); (2) synthetic/derivative (Ondo — covering 250+ tokenized stocks and ETFs); and (3) intermediary (in discussion with existing bank/broker-dealer clients). Implication: Positive for long-term ICS positioning; confirms BR as the governance infrastructure layer for tokenized equities across all ownership models.</w:t>
      </w:r>
    </w:p>
    <w:p>
      <w:pPr>
        <w:pStyle w:val="ListBullet"/>
        <w:ind w:left="360" w:hanging="360"/>
      </w:pPr>
      <w:r>
        <w:rPr>
          <w:rFonts w:ascii="Calibri" w:hAnsi="Calibri"/>
          <w:b/>
          <w:color w:val="525866"/>
          <w:sz w:val="22"/>
        </w:rPr>
        <w:t xml:space="preserve">April 2026 — Unified Digital Asset Wealth Platform Launched in Canada: </w:t>
      </w:r>
      <w:r>
        <w:rPr>
          <w:rFonts w:ascii="Calibri" w:hAnsi="Calibri"/>
          <w:color w:val="525866"/>
          <w:sz w:val="22"/>
        </w:rPr>
        <w:t>Broadridge launched an end-to-end platform for Canadian wealth managers supporting crypto, digital assets, and traditional assets on a single platform. U.S. equivalent announced at SIFMA conference (May 2026). Implication: Positive for GTO wealth management pipeline; early-stage revenue contribution.</w:t>
      </w:r>
    </w:p>
    <w:p>
      <w:pPr>
        <w:pStyle w:val="ListBullet"/>
        <w:ind w:left="360" w:hanging="360"/>
      </w:pPr>
      <w:r>
        <w:rPr>
          <w:rFonts w:ascii="Calibri" w:hAnsi="Calibri"/>
          <w:b/>
          <w:color w:val="525866"/>
          <w:sz w:val="22"/>
        </w:rPr>
        <w:t xml:space="preserve">April 30, 2026 — CQG Acquisition Closed (Disclosed on Q3 Earnings Call): </w:t>
      </w:r>
      <w:r>
        <w:rPr>
          <w:rFonts w:ascii="Calibri" w:hAnsi="Calibri"/>
          <w:color w:val="525866"/>
          <w:sz w:val="22"/>
        </w:rPr>
        <w:t>Broadridge closed the acquisition of CQG, a Denver-based global provider of futures/options trading, execution management, and market connectivity, for $173M. CQG revenues in the $50–60M range. Effective date: April 30, 2026. Implication: Contributes +3 points to Q4 GTO capital markets revenue growth; strategically fills the futures/options EMS gap in BR's front-to-back capital markets buildout.</w:t>
      </w:r>
    </w:p>
    <w:p>
      <w:pPr>
        <w:pStyle w:val="ListBullet"/>
        <w:ind w:left="360" w:hanging="360"/>
      </w:pPr>
      <w:r>
        <w:rPr>
          <w:rFonts w:ascii="Calibri" w:hAnsi="Calibri"/>
          <w:b/>
          <w:color w:val="525866"/>
          <w:sz w:val="22"/>
        </w:rPr>
        <w:t xml:space="preserve">Strategic Investment in HQLA^X (Announced April 30, 2026): </w:t>
      </w:r>
      <w:r>
        <w:rPr>
          <w:rFonts w:ascii="Calibri" w:hAnsi="Calibri"/>
          <w:color w:val="525866"/>
          <w:sz w:val="22"/>
        </w:rPr>
        <w:t>Broadridge made a strategic investment in HQLA^X to extend DLR capabilities into European intraday collateral mobility. Implication: Positive for long-term GTO capital markets positioning in Europe; no material near-term revenue impact.</w:t>
      </w:r>
    </w:p>
    <w:p>
      <w:pPr>
        <w:pStyle w:val="ListBullet"/>
        <w:ind w:left="360" w:hanging="360"/>
      </w:pPr>
      <w:r>
        <w:rPr>
          <w:rFonts w:ascii="Calibri" w:hAnsi="Calibri"/>
          <w:b/>
          <w:color w:val="525866"/>
          <w:sz w:val="22"/>
        </w:rPr>
        <w:t xml:space="preserve">July 21, 2026 — Q4 FY2026 Earnings Webcast Scheduled: </w:t>
      </w:r>
      <w:r>
        <w:rPr>
          <w:rFonts w:ascii="Calibri" w:hAnsi="Calibri"/>
          <w:color w:val="525866"/>
          <w:sz w:val="22"/>
        </w:rPr>
        <w:t>Broadridge formally announced the August 4, 2026 earnings call via press release. No pre-announcement or guidance update was included. Implication: Absence of a pre-announcement is consistent with results tracking within the guided range.</w:t>
      </w:r>
    </w:p>
    <w:p>
      <w:pPr>
        <w:pStyle w:val="ListBullet"/>
        <w:ind w:left="360" w:hanging="360"/>
      </w:pPr>
      <w:r>
        <w:rPr>
          <w:rFonts w:ascii="Calibri" w:hAnsi="Calibri"/>
          <w:b/>
          <w:color w:val="525866"/>
          <w:sz w:val="22"/>
        </w:rPr>
        <w:t xml:space="preserve">Analyst / Rating Activity: </w:t>
      </w:r>
      <w:r>
        <w:rPr>
          <w:rFonts w:ascii="Calibri" w:hAnsi="Calibri"/>
          <w:color w:val="525866"/>
          <w:sz w:val="22"/>
        </w:rPr>
        <w:t>No material analyst rating changes identified in the research context since the Q3 print. The stock's significant de-rating (NTM P/E from ~31x to ~15x over 12 months) has occurred without a corresponding wave of downgrades, suggesting the sell-side remains constructive on the fundamental story while acknowledging valuation uncertainty.</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Insider activity since the Q3 print is minimal — a single open-market sale by the Chief Legal Officer in early June. No open-market purchases have been disclosed. The absence of insider buying at a 52-week low is notable but not alarming given that management has been active with buybacks at the corporate level ($350M YTD through Q3).</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Jarkowski, Hope M.</w:t>
            </w:r>
          </w:p>
        </w:tc>
        <w:tc>
          <w:tcPr>
            <w:tcW w:type="dxa" w:w="1234"/>
          </w:tcPr>
          <w:p>
            <w:r>
              <w:rPr>
                <w:rFonts w:ascii="Calibri" w:hAnsi="Calibri"/>
                <w:sz w:val="22"/>
              </w:rPr>
              <w:t>Chief Legal Officer</w:t>
            </w:r>
          </w:p>
        </w:tc>
        <w:tc>
          <w:tcPr>
            <w:tcW w:type="dxa" w:w="1234"/>
          </w:tcPr>
          <w:p>
            <w:r>
              <w:rPr>
                <w:rFonts w:ascii="Calibri" w:hAnsi="Calibri"/>
                <w:sz w:val="22"/>
              </w:rPr>
              <w:t>Open Market Sale</w:t>
            </w:r>
          </w:p>
        </w:tc>
        <w:tc>
          <w:tcPr>
            <w:tcW w:type="dxa" w:w="1234"/>
          </w:tcPr>
          <w:p>
            <w:r>
              <w:rPr>
                <w:rFonts w:ascii="Calibri" w:hAnsi="Calibri"/>
                <w:sz w:val="22"/>
              </w:rPr>
              <w:t>1,966 shares</w:t>
            </w:r>
          </w:p>
        </w:tc>
        <w:tc>
          <w:tcPr>
            <w:tcW w:type="dxa" w:w="1234"/>
          </w:tcPr>
          <w:p>
            <w:r>
              <w:rPr>
                <w:rFonts w:ascii="Calibri" w:hAnsi="Calibri"/>
                <w:sz w:val="22"/>
              </w:rPr>
              <w:t>June 4, 2026</w:t>
            </w:r>
          </w:p>
        </w:tc>
        <w:tc>
          <w:tcPr>
            <w:tcW w:type="dxa" w:w="1234"/>
          </w:tcPr>
          <w:p>
            <w:r>
              <w:rPr>
                <w:rFonts w:ascii="Calibri" w:hAnsi="Calibri"/>
                <w:sz w:val="22"/>
              </w:rPr>
              <w:t>June 5, 2026</w:t>
            </w:r>
          </w:p>
        </w:tc>
        <w:tc>
          <w:tcPr>
            <w:tcW w:type="dxa" w:w="1234"/>
          </w:tcPr>
          <w:p>
            <w:r>
              <w:rPr>
                <w:rFonts w:ascii="Calibri" w:hAnsi="Calibri"/>
                <w:sz w:val="22"/>
              </w:rPr>
              <w:t>Discretionary sale; 1,250 shares remaining post-transaction. Not flagged as 10b5-1 planned sale.</w:t>
            </w:r>
          </w:p>
        </w:tc>
      </w:tr>
    </w:tbl>
    <w:p>
      <w:r>
        <w:rPr>
          <w:rFonts w:ascii="Calibri" w:hAnsi="Calibri"/>
          <w:i/>
          <w:color w:val="525866"/>
          <w:sz w:val="22"/>
        </w:rPr>
        <w:t>Source: SEC Form 4 filings database. Open-market transactions only (Form 4 codes P/S). Effective date (transaction date) and disclosure date (filing date) are distinguished above. No open-market purchases or 10b5-1 plan initiations identified in the period from April 30, 2026 through August 4, 2026. The single discretionary sale by the CLO is small in size and not indicative of a negative signal; the remaining share count of 1,250 post-transaction is modest. Corporate-level buybacks ($350M YTD through Q3 FY2026) represent the more meaningful capital allocation signal.</w:t>
      </w:r>
    </w:p>
    <w:p>
      <w:r>
        <w:br w:type="page"/>
      </w:r>
    </w:p>
    <w:p>
      <w:pPr>
        <w:pStyle w:val="Heading2"/>
      </w:pPr>
      <w:r>
        <w:rPr>
          <w:rFonts w:ascii="Calibri" w:hAnsi="Calibri"/>
          <w:b/>
          <w:color w:val="3B4259"/>
          <w:sz w:val="28"/>
        </w:rPr>
        <w:t>9. Key Risks and Watch Items</w:t>
      </w:r>
    </w:p>
    <w:p>
      <w:r>
        <w:rPr>
          <w:rFonts w:ascii="Calibri" w:hAnsi="Calibri"/>
          <w:b/>
          <w:color w:val="525866"/>
          <w:sz w:val="22"/>
        </w:rPr>
        <w:t xml:space="preserve">Key Takeaway: </w:t>
      </w:r>
      <w:r>
        <w:rPr>
          <w:rFonts w:ascii="Calibri" w:hAnsi="Calibri"/>
          <w:color w:val="525866"/>
          <w:sz w:val="22"/>
        </w:rPr>
        <w:t xml:space="preserve">The primary risks heading into Q4 are execution on </w:t>
      </w:r>
      <w:r>
        <w:rPr>
          <w:rFonts w:ascii="Calibri" w:hAnsi="Calibri"/>
          <w:b/>
          <w:color w:val="525866"/>
          <w:sz w:val="22"/>
        </w:rPr>
        <w:t>closed sales</w:t>
      </w:r>
      <w:r>
        <w:rPr>
          <w:rFonts w:ascii="Calibri" w:hAnsi="Calibri"/>
          <w:color w:val="525866"/>
          <w:sz w:val="22"/>
        </w:rPr>
        <w:t xml:space="preserve"> (must deliver ~$93–143M in Q4 to hit revised guidance), the </w:t>
      </w:r>
      <w:r>
        <w:rPr>
          <w:rFonts w:ascii="Calibri" w:hAnsi="Calibri"/>
          <w:b/>
          <w:color w:val="525866"/>
          <w:sz w:val="22"/>
        </w:rPr>
        <w:t>GTO net headwind</w:t>
      </w:r>
      <w:r>
        <w:rPr>
          <w:rFonts w:ascii="Calibri" w:hAnsi="Calibri"/>
          <w:color w:val="525866"/>
          <w:sz w:val="22"/>
        </w:rPr>
        <w:t xml:space="preserve"> from license timing and Canton minting curve shift, and whether management provides a constructive initial framework for the next three-year guidance cycle. Upside risk centers on position growth exceeding guidance and the next-cycle guidance announcement.</w:t>
      </w:r>
    </w:p>
    <w:p>
      <w:pPr>
        <w:pStyle w:val="ListBullet"/>
        <w:ind w:left="360" w:hanging="360"/>
      </w:pPr>
      <w:r>
        <w:rPr>
          <w:rFonts w:ascii="Calibri" w:hAnsi="Calibri"/>
          <w:b/>
          <w:color w:val="525866"/>
          <w:sz w:val="22"/>
        </w:rPr>
        <w:t xml:space="preserve">Closed Sales Execution Risk (High): </w:t>
      </w:r>
      <w:r>
        <w:rPr>
          <w:rFonts w:ascii="Calibri" w:hAnsi="Calibri"/>
          <w:color w:val="525866"/>
          <w:sz w:val="22"/>
        </w:rPr>
        <w:t>FY2026 closed sales guidance of $240–290M requires $93–143M in Q4 after $147M YTD through Q3. The pipeline is at a record &gt;$1B with 25% YoY origination growth, but deal cycles on larger engagements have been elongating. A Q4 shortfall would raise questions about the FY2027 revenue conversion timeline, even if management frames it as timing.</w:t>
      </w:r>
    </w:p>
    <w:p>
      <w:pPr>
        <w:pStyle w:val="ListBullet"/>
        <w:ind w:left="360" w:hanging="360"/>
      </w:pPr>
      <w:r>
        <w:rPr>
          <w:rFonts w:ascii="Calibri" w:hAnsi="Calibri"/>
          <w:b/>
          <w:color w:val="525866"/>
          <w:sz w:val="22"/>
        </w:rPr>
        <w:t xml:space="preserve">GTO Net Headwind (Medium): </w:t>
      </w:r>
      <w:r>
        <w:rPr>
          <w:rFonts w:ascii="Calibri" w:hAnsi="Calibri"/>
          <w:color w:val="525866"/>
          <w:sz w:val="22"/>
        </w:rPr>
        <w:t>Q4 GTO faces a known net headwind: +3 points from CQG offset by −5 points from license revenue timing in wealth management and the Canton minting curve shift (which now rewards applications over super validators, reducing BR's super validator revenue). This is a known, guided dynamic but could disappoint if the headwind is larger than expected.</w:t>
      </w:r>
    </w:p>
    <w:p>
      <w:pPr>
        <w:pStyle w:val="ListBullet"/>
        <w:ind w:left="360" w:hanging="360"/>
      </w:pPr>
      <w:r>
        <w:rPr>
          <w:rFonts w:ascii="Calibri" w:hAnsi="Calibri"/>
          <w:b/>
          <w:color w:val="525866"/>
          <w:sz w:val="22"/>
        </w:rPr>
        <w:t xml:space="preserve">Equity Position Growth Quality Debate (Medium): </w:t>
      </w:r>
      <w:r>
        <w:rPr>
          <w:rFonts w:ascii="Calibri" w:hAnsi="Calibri"/>
          <w:color w:val="525866"/>
          <w:sz w:val="22"/>
        </w:rPr>
        <w:t>The widening spread between total equity position growth (15% in Q3) and revenue position growth (11% in Q3) reflects the mix shift toward lower-revenue fractional shares and small-dollar managed accounts. If this spread widens further, it could pressure ICS regulatory revenue growth even with strong total position growth.</w:t>
      </w:r>
    </w:p>
    <w:p>
      <w:pPr>
        <w:pStyle w:val="ListBullet"/>
        <w:ind w:left="360" w:hanging="360"/>
      </w:pPr>
      <w:r>
        <w:rPr>
          <w:rFonts w:ascii="Calibri" w:hAnsi="Calibri"/>
          <w:b/>
          <w:color w:val="525866"/>
          <w:sz w:val="22"/>
        </w:rPr>
        <w:t xml:space="preserve">Next Three-Year Guidance Cycle (High — Upside Risk): </w:t>
      </w:r>
      <w:r>
        <w:rPr>
          <w:rFonts w:ascii="Calibri" w:hAnsi="Calibri"/>
          <w:color w:val="525866"/>
          <w:sz w:val="22"/>
        </w:rPr>
        <w:t>Management has signaled that the next three-year guidance cycle (FY2027–FY2029) metrics are expected to look "very similar" to the current cycle (7–9% recurring revenue growth, 8–12% EPS growth, low-teens total shareholder return). If management formally announces the next cycle on this call with specific targets, it could be a meaningful positive catalyst given the stock's depressed valuation.</w:t>
      </w:r>
    </w:p>
    <w:p>
      <w:pPr>
        <w:pStyle w:val="ListBullet"/>
        <w:ind w:left="360" w:hanging="360"/>
      </w:pPr>
      <w:r>
        <w:rPr>
          <w:rFonts w:ascii="Calibri" w:hAnsi="Calibri"/>
          <w:b/>
          <w:color w:val="525866"/>
          <w:sz w:val="22"/>
        </w:rPr>
        <w:t xml:space="preserve">Tokenization Bear Case (Medium): </w:t>
      </w:r>
      <w:r>
        <w:rPr>
          <w:rFonts w:ascii="Calibri" w:hAnsi="Calibri"/>
          <w:color w:val="525866"/>
          <w:sz w:val="22"/>
        </w:rPr>
        <w:t>The market continues to debate whether tokenization is a tailwind or headwind for BR's ICS recurring revenue model. Management has articulated two structural barriers (broker OBO privacy model and cold custodial wallet structure), but investor uncertainty persists. Any negative regulatory development or competitive announcement in tokenized securities governance could weigh on sentiment.</w:t>
      </w:r>
    </w:p>
    <w:p>
      <w:pPr>
        <w:pStyle w:val="ListBullet"/>
        <w:ind w:left="360" w:hanging="360"/>
      </w:pPr>
      <w:r>
        <w:rPr>
          <w:rFonts w:ascii="Calibri" w:hAnsi="Calibri"/>
          <w:b/>
          <w:color w:val="525866"/>
          <w:sz w:val="22"/>
        </w:rPr>
        <w:t xml:space="preserve">AI Disruption Uncertainty (Medium): </w:t>
      </w:r>
      <w:r>
        <w:rPr>
          <w:rFonts w:ascii="Calibri" w:hAnsi="Calibri"/>
          <w:color w:val="525866"/>
          <w:sz w:val="22"/>
        </w:rPr>
        <w:t>While management frames AI as a tailwind (productivity gains, new products, managed services growth), the market remains uncertain about whether AI could disintermediate BR's role in investor communications or securities processing over the medium term. FactSet's experience (AI driving incremental spend) is a positive data point, but the debate is unlikely to be resolved on a single earnings call.</w:t>
      </w:r>
    </w:p>
    <w:p>
      <w:pPr>
        <w:pStyle w:val="ListBullet"/>
        <w:ind w:left="360" w:hanging="360"/>
      </w:pPr>
      <w:r>
        <w:rPr>
          <w:rFonts w:ascii="Calibri" w:hAnsi="Calibri"/>
          <w:b/>
          <w:color w:val="525866"/>
          <w:sz w:val="22"/>
        </w:rPr>
        <w:t xml:space="preserve">SEC Digital Default Regulatory Timeline (Low — Near Term): </w:t>
      </w:r>
      <w:r>
        <w:rPr>
          <w:rFonts w:ascii="Calibri" w:hAnsi="Calibri"/>
          <w:color w:val="525866"/>
          <w:sz w:val="22"/>
        </w:rPr>
        <w:t>The SEC is expected to propose switching the default for investor communications from paper to digital "within the next few months" (per management at the Q3 call). Management expects implementation in FY2029 or later and characterizes the net revenue impact as "broadly neutral" with higher margins. Near-term risk is low, but any acceleration of the timeline or adverse regulatory interpretation could create uncertainty.</w:t>
      </w:r>
    </w:p>
    <w:p>
      <w:pPr>
        <w:pStyle w:val="ListBullet"/>
        <w:ind w:left="360" w:hanging="360"/>
      </w:pPr>
      <w:r>
        <w:rPr>
          <w:rFonts w:ascii="Calibri" w:hAnsi="Calibri"/>
          <w:b/>
          <w:color w:val="525866"/>
          <w:sz w:val="22"/>
        </w:rPr>
        <w:t xml:space="preserve">Multiple Compression Risk (Medium): </w:t>
      </w:r>
      <w:r>
        <w:rPr>
          <w:rFonts w:ascii="Calibri" w:hAnsi="Calibri"/>
          <w:color w:val="525866"/>
          <w:sz w:val="22"/>
        </w:rPr>
        <w:t>At ~15x NTM P/E, BR trades at a significant discount to its historical average and to the broader fintech peer group. While this represents potential upside if sentiment improves, it also reflects genuine investor uncertainty about the long-term growth algorithm. A disappointing Q4 print or cautious next-cycle guidance could push the multiple lower.</w:t>
      </w:r>
    </w:p>
    <w:p>
      <w:pPr>
        <w:pStyle w:val="Heading2"/>
      </w:pPr>
      <w:r>
        <w:rPr>
          <w:rFonts w:ascii="Calibri" w:hAnsi="Calibri"/>
          <w:b/>
          <w:color w:val="3B4259"/>
          <w:sz w:val="28"/>
        </w:rPr>
        <w:t>Disclosures &amp; Data Sources</w:t>
      </w:r>
    </w:p>
    <w:p>
      <w:r>
        <w:rPr>
          <w:rFonts w:ascii="Calibri" w:hAnsi="Calibri"/>
          <w:color w:val="525866"/>
          <w:sz w:val="22"/>
        </w:rPr>
        <w:t>This earnings preview is prepared for informational purposes only and does not constitute investment advice. All financial estimates and consensus data sourced from Visible Alpha unless otherwise noted. Stock price data sourced from Yahoo Finance. Insider transaction data sourced from SEC Form 4 filings database. Peer commentary sourced from earnings call transcripts and conference transcripts via Implied financial documents database. All figures in USD unless otherwise stated.</w:t>
      </w:r>
    </w:p>
    <w:p>
      <w:r>
        <w:rPr>
          <w:rFonts w:ascii="Calibri" w:hAnsi="Calibri"/>
          <w:b/>
          <w:color w:val="525866"/>
          <w:sz w:val="22"/>
        </w:rPr>
        <w:t xml:space="preserve">Key Sources: </w:t>
      </w:r>
      <w:r>
        <w:rPr>
          <w:rFonts w:ascii="Calibri" w:hAnsi="Calibri"/>
          <w:color w:val="525866"/>
          <w:sz w:val="22"/>
        </w:rPr>
        <w:t>BR Q3 FY2026 Earnings Call Transcript (April 30, 2026); BR Needham Technology, Media &amp; Consumer Conference Transcript (May 12, 2026); BR Bernstein Strategic Decisions Conference Transcript (May 27, 2026); BR RBC Capital Markets Financial Technology Conference Transcript (June 9, 2026); BR 8-K — $500M Senior Notes Offering (May 15, 2026); ADP Q4 FY2026 Earnings Call Transcript (July 29, 2026); FDS Q3 FY2026 Earnings Call Transcript (July 1, 2026); SSNC Q2 2026 Earnings Call Transcript (July 23, 2026); PAYX Q4 FY2026 Earnings Call Transcript (June 24, 2026); Visible Alpha Consensus and Actuals Data; SEC Form 4 Filings Database; Yahoo Finance Stock Price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