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~$6.45 vs. cons $6.20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~$19.6B vs. cons $19.2B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&amp; Energy segment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backlog (end-Q2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63B (Q2-end, vs Q1 record $63B)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~low-double-digit ~11% vs. cons ~10%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tariff cost headwind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Resource Industries segment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~10-11% vs. cons ~12% (Q2 2026, down Y/Y)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ME&amp;T 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9.5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Expect a relief rally on day 1: EPS/revenue beat plus a continued backlog build off the record $63B and reassuring data-center commentary against cooled, post-22%-pullback expectations. But the stock still trades ~33x FY26 EPS with an active AI/data-center regulatory overhang (Baird cut to</w:t>
            </w:r>
            <w:r>
              <w:t xml:space="preserve"> </w:t>
            </w:r>
            <m:oMath>
              <m:r>
                <m:t>900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l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t>t</m:t>
              </m:r>
              <m:r>
                <m:t>a</m:t>
              </m:r>
              <m:r>
                <m:t>i</m:t>
              </m:r>
              <m:r>
                <m:t>l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700M tariff drag and lower RI margins. Out-period math is only modestly accretive — a beat doesn't push FY estimates up much once CI normalization and tariffs are baked in — so the initial pop partially fades as profit-taking and valuation skepticism reassert into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2026-08-04T00:43:25Z</dcterms:created>
  <dcterms:modified xsi:type="dcterms:W3CDTF">2026-08-04T00:43:25Z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