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Caterpillar before writing the preview. Let me start by gathering recent filings, transcripts, and news.Interesting — CAT has become an AI/data center play. Let me read the latest earnings materials and get price data.I have Q1 2026 detail. Now let me get the year-ago Q2 2025 for comparison, recent stock price, and consensus estimates.Let me get consensus estimates and the latest news context.Let me fix the web search and get consensus estimates.The result is a JSON string. Let me parse it properly.I now have what I need. Let me compile a few reference figures before writing.Here is the earnings preview.</w:t>
      </w:r>
    </w:p>
    <w:bookmarkStart w:id="18" w:name="X048532c1b1b037da17948bc89911b0b60556d12"/>
    <w:p>
      <w:pPr>
        <w:pStyle w:val="Heading1"/>
      </w:pPr>
      <w:r>
        <w:t xml:space="preserve">Caterpillar (CAT) — Q2 2026 Earnings Preview</w:t>
      </w:r>
    </w:p>
    <w:bookmarkStart w:id="9" w:name="Xce9ce3c97b8e7dc7d40b6d492761fbcadd23513"/>
    <w:p>
      <w:pPr>
        <w:pStyle w:val="Heading3"/>
      </w:pPr>
      <w:r>
        <w:t xml:space="preserve">Reports before the open, Tuesday, August 4, 2026 (2026Q2 Earnings Call)</w:t>
      </w:r>
    </w:p>
    <w:bookmarkEnd w:id="9"/>
    <w:bookmarkStart w:id="10" w:name="the-one-line-setup"/>
    <w:p>
      <w:pPr>
        <w:pStyle w:val="Heading2"/>
      </w:pPr>
      <w:r>
        <w:t xml:space="preserve">The one-line setup</w:t>
      </w:r>
    </w:p>
    <w:p>
      <w:pPr>
        <w:pStyle w:val="FirstParagraph"/>
      </w:pPr>
      <w:r>
        <w:t xml:space="preserve">Caterpillar has been re-rated over the past year from a cyclical industrial into a de facto</w:t>
      </w:r>
      <w:r>
        <w:t xml:space="preserve"> </w:t>
      </w:r>
      <w:r>
        <w:rPr>
          <w:b/>
          <w:bCs/>
        </w:rPr>
        <w:t xml:space="preserve">AI/data-center power play</w:t>
      </w:r>
      <w:r>
        <w:t xml:space="preserve">, and this print is the first real test of whether that narrative can survive both a stretched valuation and freshly emerging concerns about data-center demand durability. Wall Street, on average, expects the company to post quarterly EPS of $6.20 (+31.4% Y/Y) on revenue of</w:t>
      </w:r>
      <w:r>
        <w:t xml:space="preserve"> </w:t>
      </w:r>
      <m:oMath>
        <m:r>
          <m:t>19.2</m:t>
        </m:r>
        <m:r>
          <m:t>B</m:t>
        </m:r>
        <m:r>
          <m:rPr>
            <m:sty m:val="p"/>
          </m:rPr>
          <m:t>(</m:t>
        </m:r>
        <m:r>
          <m:rPr>
            <m:sty m:val="p"/>
          </m:rPr>
          <m:t>+</m:t>
        </m:r>
        <m:r>
          <m:t>15.7</m:t>
        </m:r>
      </m:oMath>
      <w:r>
        <w:t xml:space="preserve">6.25. The bar is high, and the stock is entering the print in a fragile technical position.</w:t>
      </w:r>
    </w:p>
    <w:p>
      <w:r>
        <w:pict>
          <v:rect style="width:0;height:1.5pt" o:hralign="center" o:hrstd="t" o:hr="t"/>
        </w:pict>
      </w:r>
    </w:p>
    <w:bookmarkEnd w:id="10"/>
    <w:bookmarkStart w:id="11" w:name="X755af0a40b73a48d63dfd8ebaa0e4d798582ab1"/>
    <w:p>
      <w:pPr>
        <w:pStyle w:val="Heading2"/>
      </w:pPr>
      <w:r>
        <w:t xml:space="preserve">What's driving the story: Power &amp; Energy / data centers</w:t>
      </w:r>
    </w:p>
    <w:p>
      <w:pPr>
        <w:pStyle w:val="FirstParagraph"/>
      </w:pPr>
      <w:r>
        <w:t xml:space="preserve">The bull case now lives almost entirely in the</w:t>
      </w:r>
      <w:r>
        <w:t xml:space="preserve"> </w:t>
      </w:r>
      <w:r>
        <w:rPr>
          <w:b/>
          <w:bCs/>
        </w:rPr>
        <w:t xml:space="preserve">Power &amp; Energy</w:t>
      </w:r>
      <w:r>
        <w:t xml:space="preserve"> </w:t>
      </w:r>
      <w:r>
        <w:t xml:space="preserve">segment (turbines, reciprocating engines, oil &amp; gas, power generation), which management has aggressively leaned into:</w:t>
      </w:r>
    </w:p>
    <w:p>
      <w:pPr>
        <w:pStyle w:val="Compact"/>
        <w:numPr>
          <w:ilvl w:val="0"/>
          <w:numId w:val="1001"/>
        </w:numPr>
      </w:pPr>
      <w:r>
        <w:t xml:space="preserve">In Q1 2026,</w:t>
      </w:r>
      <w:r>
        <w:t xml:space="preserve"> </w:t>
      </w:r>
      <w:r>
        <w:rPr>
          <w:b/>
          <w:bCs/>
        </w:rPr>
        <w:t xml:space="preserve">Power &amp; Energy sales grew 22%</w:t>
      </w:r>
      <w:r>
        <w:t xml:space="preserve"> </w:t>
      </w:r>
      <w:r>
        <w:t xml:space="preserve">to</w:t>
      </w:r>
      <w:r>
        <w:t xml:space="preserve"> </w:t>
      </w:r>
      <m:oMath>
        <m:r>
          <m:t>7.0</m:t>
        </m:r>
        <m:r>
          <m:t>B</m:t>
        </m:r>
        <m:r>
          <m:rPr>
            <m:sty m:val="p"/>
          </m:rPr>
          <m:t>,</m:t>
        </m:r>
        <m:r>
          <m:t>w</m:t>
        </m:r>
        <m:r>
          <m:t>i</m:t>
        </m:r>
        <m:r>
          <m:t>t</m:t>
        </m:r>
        <m:r>
          <m:t>h</m:t>
        </m:r>
        <m:r>
          <m:rPr>
            <m:sty m:val="p"/>
          </m:rPr>
          <m:t>*</m:t>
        </m:r>
        <m:r>
          <m:rPr>
            <m:sty m:val="p"/>
          </m:rPr>
          <m:t>*</m:t>
        </m:r>
        <m:r>
          <m:t>p</m:t>
        </m:r>
        <m:r>
          <m:t>o</m:t>
        </m:r>
        <m:r>
          <m:t>w</m:t>
        </m:r>
        <m:r>
          <m:t>e</m:t>
        </m:r>
        <m:r>
          <m:t>r</m:t>
        </m:r>
        <m:r>
          <m:t>g</m:t>
        </m:r>
        <m:r>
          <m:t>e</m:t>
        </m:r>
        <m:r>
          <m:t>n</m:t>
        </m:r>
        <m:r>
          <m:t>e</m:t>
        </m:r>
        <m:r>
          <m:t>r</m:t>
        </m:r>
        <m:r>
          <m:t>a</m:t>
        </m:r>
        <m:r>
          <m:t>t</m:t>
        </m:r>
        <m:r>
          <m:t>i</m:t>
        </m:r>
        <m:r>
          <m:t>o</m:t>
        </m:r>
        <m:r>
          <m:t>n</m:t>
        </m:r>
        <m:r>
          <m:t>u</m:t>
        </m:r>
        <m:r>
          <m:t>p</m:t>
        </m:r>
        <m:r>
          <m:t> </m:t>
        </m:r>
        <m:r>
          <m:t>41</m:t>
        </m:r>
      </m:oMath>
      <w:r>
        <w:t xml:space="preserve">2.82B) driven by large gensets and turbines for data centers, increasingly mixed toward</w:t>
      </w:r>
      <w:r>
        <w:t xml:space="preserve"> </w:t>
      </w:r>
      <w:r>
        <w:rPr>
          <w:b/>
          <w:bCs/>
        </w:rPr>
        <w:t xml:space="preserve">prime power</w:t>
      </w:r>
      <w:r>
        <w:t xml:space="preserve">.</w:t>
      </w:r>
    </w:p>
    <w:p>
      <w:pPr>
        <w:pStyle w:val="Compact"/>
        <w:numPr>
          <w:ilvl w:val="0"/>
          <w:numId w:val="1001"/>
        </w:numPr>
      </w:pPr>
      <w:r>
        <w:t xml:space="preserve">Management</w:t>
      </w:r>
      <w:r>
        <w:t xml:space="preserve"> </w:t>
      </w:r>
      <w:r>
        <w:rPr>
          <w:b/>
          <w:bCs/>
        </w:rPr>
        <w:t xml:space="preserve">raised its large reciprocating engine capacity target from 2x to nearly 3x 2024 levels</w:t>
      </w:r>
      <w:r>
        <w:t xml:space="preserve">, lifted the 2030 power-gen sales goal to</w:t>
      </w:r>
      <w:r>
        <w:t xml:space="preserve"> </w:t>
      </w:r>
      <w:r>
        <w:rPr>
          <w:b/>
          <w:bCs/>
        </w:rPr>
        <w:t xml:space="preserve">&gt;3x</w:t>
      </w:r>
      <w:r>
        <w:t xml:space="preserve"> </w:t>
      </w:r>
      <w:r>
        <w:t xml:space="preserve">the 2024 base, and raised the enterprise</w:t>
      </w:r>
      <w:r>
        <w:t xml:space="preserve"> </w:t>
      </w:r>
      <w:r>
        <w:rPr>
          <w:b/>
          <w:bCs/>
        </w:rPr>
        <w:t xml:space="preserve">2024–2030 sales CAGR to 6–9%</w:t>
      </w:r>
      <w:r>
        <w:t xml:space="preserve"> </w:t>
      </w:r>
      <w:r>
        <w:t xml:space="preserve">(from ~6%). It cited</w:t>
      </w:r>
      <w:r>
        <w:t xml:space="preserve"> </w:t>
      </w:r>
      <w:r>
        <w:rPr>
          <w:b/>
          <w:bCs/>
        </w:rPr>
        <w:t xml:space="preserve">six agreements of at least 1 GW</w:t>
      </w:r>
      <w:r>
        <w:t xml:space="preserve"> </w:t>
      </w:r>
      <w:r>
        <w:t xml:space="preserve">for prime power, plus a newly announced PROPWR deal for up to 2.1 GW.</w:t>
      </w:r>
    </w:p>
    <w:p>
      <w:pPr>
        <w:pStyle w:val="Compact"/>
        <w:numPr>
          <w:ilvl w:val="0"/>
          <w:numId w:val="1001"/>
        </w:numPr>
      </w:pPr>
      <w:r>
        <w:t xml:space="preserve">Backlog hit a</w:t>
      </w:r>
      <w:r>
        <w:t xml:space="preserve"> </w:t>
      </w:r>
      <w:r>
        <w:rPr>
          <w:b/>
          <w:bCs/>
        </w:rPr>
        <w:t xml:space="preserve">record</w:t>
      </w:r>
      <w:r>
        <w:rPr>
          <w:b/>
          <w:bCs/>
        </w:rPr>
        <w:t xml:space="preserve"> </w:t>
      </w:r>
      <m:oMath>
        <m:r>
          <m:t>63</m:t>
        </m:r>
        <m:r>
          <m:t>B</m:t>
        </m:r>
        <m:r>
          <m:t>i</m:t>
        </m:r>
        <m:r>
          <m:t>n</m:t>
        </m:r>
        <m:r>
          <m:t>Q</m:t>
        </m:r>
        <m:r>
          <m:t>1</m:t>
        </m:r>
        <m:r>
          <m:rPr>
            <m:sty m:val="p"/>
          </m:rPr>
          <m:t>,</m:t>
        </m:r>
        <m:r>
          <m:t>u</m:t>
        </m:r>
        <m:r>
          <m:t>p</m:t>
        </m:r>
        <m:r>
          <m:t>79</m:t>
        </m:r>
      </m:oMath>
      <w:r>
        <w:rPr>
          <w:b/>
          <w:bCs/>
        </w:rPr>
        <w:t xml:space="preserve">28B) year-over-year</w:t>
      </w:r>
      <w:r>
        <w:t xml:space="preserve">, with all three segments contributing and some orders extending into 2028.</w:t>
      </w:r>
    </w:p>
    <w:p>
      <w:pPr>
        <w:pStyle w:val="FirstParagraph"/>
      </w:pPr>
      <w:r>
        <w:rPr>
          <w:b/>
          <w:bCs/>
        </w:rPr>
        <w:t xml:space="preserve">What to watch Q2:</w:t>
      </w:r>
      <w:r>
        <w:t xml:space="preserve"> </w:t>
      </w:r>
      <w:r>
        <w:t xml:space="preserve">Order intake and backlog trajectory (does it build again off $63B?), the prime-vs-backup power mix, capacity ramp progress (management said it was tracking</w:t>
      </w:r>
      <w:r>
        <w:t xml:space="preserve"> </w:t>
      </w:r>
      <w:r>
        <w:rPr>
          <w:i/>
          <w:iCs/>
        </w:rPr>
        <w:t xml:space="preserve">ahead</w:t>
      </w:r>
      <w:r>
        <w:t xml:space="preserve"> </w:t>
      </w:r>
      <w:r>
        <w:t xml:space="preserve">of schedule), and any new gigawatt agreements. This is the number the market will trade on.</w:t>
      </w:r>
    </w:p>
    <w:p>
      <w:r>
        <w:pict>
          <v:rect style="width:0;height:1.5pt" o:hralign="center" o:hrstd="t" o:hr="t"/>
        </w:pict>
      </w:r>
    </w:p>
    <w:bookmarkEnd w:id="11"/>
    <w:bookmarkStart w:id="12" w:name="Xc60af7597435d7d4c8419e8414db6dd18e4043e"/>
    <w:p>
      <w:pPr>
        <w:pStyle w:val="Heading2"/>
      </w:pPr>
      <w:r>
        <w:t xml:space="preserve">The bear counterweight that just showed up</w:t>
      </w:r>
    </w:p>
    <w:p>
      <w:pPr>
        <w:pStyle w:val="FirstParagraph"/>
      </w:pPr>
      <w:r>
        <w:t xml:space="preserve">The AI-power thesis took its first real hit just days before the print. Baird analyst Mig Dobre downgraded CAT to Hold from Buy and cut his price target to $900 from $1,200, citing mounting regulatory risks to data-center expansion — including New York State's moratorium on data-center construction — which he argued raises costs, adds approval hurdles, limits site availability, and likely slows future investment. Caterpillar stock had become an AI darling due to its power-generation products supporting the data-center build-out, but cracks are appearing as investors question whether hyperscaler capital spending can sustain growth. Separately, analysts flagged Middle East geopolitical developments as a potential overhang.</w:t>
      </w:r>
    </w:p>
    <w:p>
      <w:pPr>
        <w:pStyle w:val="BodyText"/>
      </w:pPr>
      <w:r>
        <w:t xml:space="preserve">The tension is clear: sentiment coming in is very bullish given the transition to an AI/data-center story, but the valuation is now considered quite rich and Power Generation remains a relatively small portion of overall revenue.</w:t>
      </w:r>
    </w:p>
    <w:p>
      <w:r>
        <w:pict>
          <v:rect style="width:0;height:1.5pt" o:hralign="center" o:hrstd="t" o:hr="t"/>
        </w:pict>
      </w:r>
    </w:p>
    <w:bookmarkEnd w:id="12"/>
    <w:bookmarkStart w:id="13" w:name="X8ebd06d19514972c60e1e5007e5b5e216193d39"/>
    <w:p>
      <w:pPr>
        <w:pStyle w:val="Heading2"/>
      </w:pPr>
      <w:r>
        <w:t xml:space="preserve">The other two segments still matter more (for now)</w:t>
      </w:r>
    </w:p>
    <w:p>
      <w:pPr>
        <w:pStyle w:val="FirstParagraph"/>
      </w:pPr>
      <w:r>
        <w:rPr>
          <w:b/>
          <w:bCs/>
        </w:rPr>
        <w:t xml:space="preserve">Construction Industries</w:t>
      </w:r>
      <w:r>
        <w:t xml:space="preserve"> </w:t>
      </w:r>
      <w:r>
        <w:t xml:space="preserve">— the largest revenue segment and the swing factor on the "AI is only a small % of revenue" critique:</w:t>
      </w:r>
    </w:p>
    <w:p>
      <w:pPr>
        <w:pStyle w:val="Compact"/>
        <w:numPr>
          <w:ilvl w:val="0"/>
          <w:numId w:val="1002"/>
        </w:numPr>
      </w:pPr>
      <w:r>
        <w:t xml:space="preserve">Q1 was a blowout:</w:t>
      </w:r>
      <w:r>
        <w:t xml:space="preserve"> </w:t>
      </w:r>
      <w:r>
        <w:rPr>
          <w:b/>
          <w:bCs/>
        </w:rPr>
        <w:t xml:space="preserve">sales +38% to</w:t>
      </w:r>
      <w:r>
        <w:rPr>
          <w:b/>
          <w:bCs/>
        </w:rPr>
        <w:t xml:space="preserve"> </w:t>
      </w:r>
      <m:oMath>
        <m:r>
          <m:t>7.16</m:t>
        </m:r>
        <m:r>
          <m:t>B</m:t>
        </m:r>
        <m:r>
          <m:rPr>
            <m:sty m:val="p"/>
          </m:rPr>
          <m:t>,</m:t>
        </m:r>
        <m:r>
          <m:t>m</m:t>
        </m:r>
        <m:r>
          <m:t>a</m:t>
        </m:r>
        <m:r>
          <m:t>r</m:t>
        </m:r>
        <m:r>
          <m:t>g</m:t>
        </m:r>
        <m:r>
          <m:t>i</m:t>
        </m:r>
        <m:r>
          <m:t>n</m:t>
        </m:r>
        <m:r>
          <m:t>21.4</m:t>
        </m:r>
      </m:oMath>
      <w:r>
        <w:rPr>
          <w:b/>
          <w:bCs/>
        </w:rPr>
        <w:t xml:space="preserve">1.5B dealer inventory build</w:t>
      </w:r>
      <w:r>
        <w:t xml:space="preserve"> </w:t>
      </w:r>
      <w:r>
        <w:t xml:space="preserve">vs. a slight drawdown a year ago. Underlying</w:t>
      </w:r>
      <w:r>
        <w:t xml:space="preserve"> </w:t>
      </w:r>
      <w:r>
        <w:rPr>
          <w:b/>
          <w:bCs/>
        </w:rPr>
        <w:t xml:space="preserve">sales to users grew 7%</w:t>
      </w:r>
      <w:r>
        <w:t xml:space="preserve"> </w:t>
      </w:r>
      <w:r>
        <w:t xml:space="preserve">(fifth straight quarter of growth).</w:t>
      </w:r>
    </w:p>
    <w:p>
      <w:pPr>
        <w:pStyle w:val="Compact"/>
        <w:numPr>
          <w:ilvl w:val="0"/>
          <w:numId w:val="1002"/>
        </w:numPr>
      </w:pPr>
      <w:r>
        <w:t xml:space="preserve">For Q2, management guided to</w:t>
      </w:r>
      <w:r>
        <w:t xml:space="preserve"> </w:t>
      </w:r>
      <w:r>
        <w:rPr>
          <w:b/>
          <w:bCs/>
        </w:rPr>
        <w:t xml:space="preserve">minimal further change in CI dealer inventory</w:t>
      </w:r>
      <w:r>
        <w:t xml:space="preserve"> </w:t>
      </w:r>
      <w:r>
        <w:t xml:space="preserve">and a</w:t>
      </w:r>
      <w:r>
        <w:t xml:space="preserve"> </w:t>
      </w:r>
      <w:r>
        <w:rPr>
          <w:i/>
          <w:iCs/>
        </w:rPr>
        <w:t xml:space="preserve">more typical</w:t>
      </w:r>
      <w:r>
        <w:t xml:space="preserve"> </w:t>
      </w:r>
      <w:r>
        <w:t xml:space="preserve">sequential build — so the Y/Y growth optics should normalize sharply. Watch sales-to-users (the cleaner demand signal), North America non-resi/infrastructure (IIJA + data-center construction), and price realization.</w:t>
      </w:r>
    </w:p>
    <w:p>
      <w:pPr>
        <w:pStyle w:val="Compact"/>
        <w:numPr>
          <w:ilvl w:val="0"/>
          <w:numId w:val="1002"/>
        </w:numPr>
      </w:pPr>
      <w:r>
        <w:t xml:space="preserve">Note the year-ago comp is easy:</w:t>
      </w:r>
      <w:r>
        <w:t xml:space="preserve"> </w:t>
      </w:r>
      <w:r>
        <w:rPr>
          <w:b/>
          <w:bCs/>
        </w:rPr>
        <w:t xml:space="preserve">Q2 2025 CI sales fell 7% to $6.19B</w:t>
      </w:r>
      <w:r>
        <w:t xml:space="preserve"> </w:t>
      </w:r>
      <w:r>
        <w:t xml:space="preserve">on unfavorable price and a dealer inventory drawdown.</w:t>
      </w:r>
    </w:p>
    <w:p>
      <w:pPr>
        <w:pStyle w:val="FirstParagraph"/>
      </w:pPr>
      <w:r>
        <w:rPr>
          <w:b/>
          <w:bCs/>
        </w:rPr>
        <w:t xml:space="preserve">Resource Industries</w:t>
      </w:r>
      <w:r>
        <w:t xml:space="preserve"> </w:t>
      </w:r>
      <w:r>
        <w:t xml:space="preserve">— the profit-margin wildcard:</w:t>
      </w:r>
    </w:p>
    <w:p>
      <w:pPr>
        <w:pStyle w:val="Compact"/>
        <w:numPr>
          <w:ilvl w:val="0"/>
          <w:numId w:val="1003"/>
        </w:numPr>
      </w:pPr>
      <w:r>
        <w:t xml:space="preserve">Q1 margin cratered to</w:t>
      </w:r>
      <w:r>
        <w:t xml:space="preserve"> </w:t>
      </w:r>
      <w:r>
        <w:rPr>
          <w:b/>
          <w:bCs/>
        </w:rPr>
        <w:t xml:space="preserve">10.0% (–700 bps Y/Y)</w:t>
      </w:r>
      <w:r>
        <w:t xml:space="preserve"> </w:t>
      </w:r>
      <w:r>
        <w:t xml:space="preserve">on tariffs and timing. Management explicitly guided RI margin</w:t>
      </w:r>
      <w:r>
        <w:t xml:space="preserve"> </w:t>
      </w:r>
      <w:r>
        <w:rPr>
          <w:b/>
          <w:bCs/>
        </w:rPr>
        <w:t xml:space="preserve">lower Y/Y again in Q2</w:t>
      </w:r>
      <w:r>
        <w:t xml:space="preserve">, with price realization improving as the year progresses.</w:t>
      </w:r>
    </w:p>
    <w:p>
      <w:pPr>
        <w:pStyle w:val="Compact"/>
        <w:numPr>
          <w:ilvl w:val="0"/>
          <w:numId w:val="1003"/>
        </w:numPr>
      </w:pPr>
      <w:r>
        <w:t xml:space="preserve">The offset:</w:t>
      </w:r>
      <w:r>
        <w:t xml:space="preserve"> </w:t>
      </w:r>
      <w:r>
        <w:rPr>
          <w:b/>
          <w:bCs/>
        </w:rPr>
        <w:t xml:space="preserve">mining order intake was the strongest since 2012</w:t>
      </w:r>
      <w:r>
        <w:t xml:space="preserve">, driven by copper and gold, plus an aging fleet. Watch whether backlog strength starts translating into margin recovery.</w:t>
      </w:r>
    </w:p>
    <w:p>
      <w:r>
        <w:pict>
          <v:rect style="width:0;height:1.5pt" o:hralign="center" o:hrstd="t" o:hr="t"/>
        </w:pict>
      </w:r>
    </w:p>
    <w:bookmarkEnd w:id="13"/>
    <w:bookmarkStart w:id="14" w:name="margins-and-the-tariff-overhang"/>
    <w:p>
      <w:pPr>
        <w:pStyle w:val="Heading2"/>
      </w:pPr>
      <w:r>
        <w:t xml:space="preserve">Margins and the tariff overhang</w:t>
      </w:r>
    </w:p>
    <w:p>
      <w:pPr>
        <w:pStyle w:val="FirstParagraph"/>
      </w:pPr>
      <w:r>
        <w:t xml:space="preserve">Tariffs remain the single biggest earnings headwind and the reason margins look compressed despite strong volumes:</w:t>
      </w:r>
    </w:p>
    <w:p>
      <w:pPr>
        <w:pStyle w:val="Compact"/>
        <w:numPr>
          <w:ilvl w:val="0"/>
          <w:numId w:val="1004"/>
        </w:numPr>
      </w:pPr>
      <w:r>
        <w:t xml:space="preserve">Q1 2026 tariff cost was</w:t>
      </w:r>
      <w:r>
        <w:t xml:space="preserve"> </w:t>
      </w:r>
      <w:r>
        <w:rPr>
          <w:b/>
          <w:bCs/>
        </w:rPr>
        <w:t xml:space="preserve">~$600M</w:t>
      </w:r>
      <w:r>
        <w:t xml:space="preserve"> </w:t>
      </w:r>
      <w:r>
        <w:t xml:space="preserve">(better than the</w:t>
      </w:r>
      <w:r>
        <w:t xml:space="preserve"> </w:t>
      </w:r>
      <m:oMath>
        <m:r>
          <m:t>800</m:t>
        </m:r>
        <m:r>
          <m:t>M</m:t>
        </m:r>
        <m:r>
          <m:t>f</m:t>
        </m:r>
        <m:r>
          <m:t>e</m:t>
        </m:r>
        <m:r>
          <m:t>a</m:t>
        </m:r>
        <m:r>
          <m:t>r</m:t>
        </m:r>
        <m:r>
          <m:t>e</m:t>
        </m:r>
        <m:r>
          <m:t>d</m:t>
        </m:r>
        <m:r>
          <m:rPr>
            <m:sty m:val="p"/>
          </m:rPr>
          <m:t>)</m:t>
        </m:r>
        <m:r>
          <m:rPr>
            <m:sty m:val="p"/>
          </m:rPr>
          <m:t>.</m:t>
        </m:r>
        <m:r>
          <m:t>F</m:t>
        </m:r>
        <m:r>
          <m:t>o</m:t>
        </m:r>
        <m:r>
          <m:t>r</m:t>
        </m:r>
        <m:r>
          <m:rPr>
            <m:sty m:val="p"/>
          </m:rPr>
          <m:t>*</m:t>
        </m:r>
        <m:r>
          <m:rPr>
            <m:sty m:val="p"/>
          </m:rPr>
          <m:t>*</m:t>
        </m:r>
        <m:r>
          <m:t>Q</m:t>
        </m:r>
        <m:r>
          <m:t>2</m:t>
        </m:r>
        <m:r>
          <m:rPr>
            <m:sty m:val="p"/>
          </m:rPr>
          <m:t>,</m:t>
        </m:r>
        <m:r>
          <m:t>m</m:t>
        </m:r>
        <m:r>
          <m:t>a</m:t>
        </m:r>
        <m:r>
          <m:t>n</m:t>
        </m:r>
        <m:r>
          <m:t>a</m:t>
        </m:r>
        <m:r>
          <m:t>g</m:t>
        </m:r>
        <m:r>
          <m:t>e</m:t>
        </m:r>
        <m:r>
          <m:t>m</m:t>
        </m:r>
        <m:r>
          <m:t>e</m:t>
        </m:r>
        <m:r>
          <m:t>n</m:t>
        </m:r>
        <m:r>
          <m:t>t</m:t>
        </m:r>
        <m:r>
          <m:t>g</m:t>
        </m:r>
        <m:r>
          <m:t>u</m:t>
        </m:r>
        <m:r>
          <m:t>i</m:t>
        </m:r>
        <m:r>
          <m:t>d</m:t>
        </m:r>
        <m:r>
          <m:t>e</m:t>
        </m:r>
        <m:r>
          <m:t>d</m:t>
        </m:r>
        <m:r>
          <m:t> </m:t>
        </m:r>
      </m:oMath>
      <w:r>
        <w:t xml:space="preserve">700M** (vs. ~$400M a year ago), split roughly</w:t>
      </w:r>
      <w:r>
        <w:t xml:space="preserve"> </w:t>
      </w:r>
      <w:r>
        <w:rPr>
          <w:b/>
          <w:bCs/>
        </w:rPr>
        <w:t xml:space="preserve">50% CI / 25% P&amp;E / 25% RI</w:t>
      </w:r>
      <w:r>
        <w:t xml:space="preserve">.</w:t>
      </w:r>
    </w:p>
    <w:p>
      <w:pPr>
        <w:pStyle w:val="Compact"/>
        <w:numPr>
          <w:ilvl w:val="0"/>
          <w:numId w:val="1004"/>
        </w:numPr>
      </w:pPr>
      <w:r>
        <w:t xml:space="preserve">Full-year 2026 tariff estimate was</w:t>
      </w:r>
      <w:r>
        <w:t xml:space="preserve"> </w:t>
      </w:r>
      <w:r>
        <w:rPr>
          <w:b/>
          <w:bCs/>
        </w:rPr>
        <w:t xml:space="preserve">trimmed to $2.2–2.4B</w:t>
      </w:r>
      <w:r>
        <w:t xml:space="preserve"> </w:t>
      </w:r>
      <w:r>
        <w:t xml:space="preserve">(from $2.6B), partly reflecting the Supreme Court IEEPA ruling and a shift to Section 232/122.</w:t>
      </w:r>
    </w:p>
    <w:p>
      <w:pPr>
        <w:pStyle w:val="Compact"/>
        <w:numPr>
          <w:ilvl w:val="0"/>
          <w:numId w:val="1004"/>
        </w:numPr>
      </w:pPr>
      <w:r>
        <w:t xml:space="preserve">Guidance framework:</w:t>
      </w:r>
      <w:r>
        <w:t xml:space="preserve"> </w:t>
      </w:r>
      <w:r>
        <w:rPr>
          <w:b/>
          <w:bCs/>
        </w:rPr>
        <w:t xml:space="preserve">adjusted operating margin near the bottom</w:t>
      </w:r>
      <w:r>
        <w:t xml:space="preserve"> </w:t>
      </w:r>
      <w:r>
        <w:t xml:space="preserve">of the progressive target range</w:t>
      </w:r>
      <w:r>
        <w:t xml:space="preserve"> </w:t>
      </w:r>
      <w:r>
        <w:rPr>
          <w:i/>
          <w:iCs/>
        </w:rPr>
        <w:t xml:space="preserve">including</w:t>
      </w:r>
      <w:r>
        <w:t xml:space="preserve"> </w:t>
      </w:r>
      <w:r>
        <w:t xml:space="preserve">tariffs, but in the</w:t>
      </w:r>
      <w:r>
        <w:t xml:space="preserve"> </w:t>
      </w:r>
      <w:r>
        <w:rPr>
          <w:b/>
          <w:bCs/>
        </w:rPr>
        <w:t xml:space="preserve">top half excluding</w:t>
      </w:r>
      <w:r>
        <w:t xml:space="preserve"> </w:t>
      </w:r>
      <w:r>
        <w:t xml:space="preserve">them. By segment for Q2: P&amp;E margin slightly</w:t>
      </w:r>
      <w:r>
        <w:t xml:space="preserve"> </w:t>
      </w:r>
      <w:r>
        <w:rPr>
          <w:i/>
          <w:iCs/>
        </w:rPr>
        <w:t xml:space="preserve">higher</w:t>
      </w:r>
      <w:r>
        <w:t xml:space="preserve"> </w:t>
      </w:r>
      <w:r>
        <w:t xml:space="preserve">Y/Y, CI</w:t>
      </w:r>
      <w:r>
        <w:t xml:space="preserve"> </w:t>
      </w:r>
      <w:r>
        <w:rPr>
          <w:i/>
          <w:iCs/>
        </w:rPr>
        <w:t xml:space="preserve">higher</w:t>
      </w:r>
      <w:r>
        <w:t xml:space="preserve"> </w:t>
      </w:r>
      <w:r>
        <w:t xml:space="preserve">Y/Y, RI</w:t>
      </w:r>
      <w:r>
        <w:t xml:space="preserve"> </w:t>
      </w:r>
      <w:r>
        <w:rPr>
          <w:i/>
          <w:iCs/>
        </w:rPr>
        <w:t xml:space="preserve">lower</w:t>
      </w:r>
      <w:r>
        <w:t xml:space="preserve"> </w:t>
      </w:r>
      <w:r>
        <w:t xml:space="preserve">Y/Y.</w:t>
      </w:r>
    </w:p>
    <w:p>
      <w:r>
        <w:pict>
          <v:rect style="width:0;height:1.5pt" o:hralign="center" o:hrstd="t" o:hr="t"/>
        </w:pict>
      </w:r>
    </w:p>
    <w:bookmarkEnd w:id="14"/>
    <w:bookmarkStart w:id="15" w:name="X20f1d6cd3a2f3a0683f8c6884f87325794b39a2"/>
    <w:p>
      <w:pPr>
        <w:pStyle w:val="Heading2"/>
      </w:pPr>
      <w:r>
        <w:t xml:space="preserve">Full-year guide &amp; capital returns (watch for a raise)</w:t>
      </w:r>
    </w:p>
    <w:p>
      <w:pPr>
        <w:pStyle w:val="Compact"/>
        <w:numPr>
          <w:ilvl w:val="0"/>
          <w:numId w:val="1005"/>
        </w:numPr>
      </w:pPr>
      <w:r>
        <w:t xml:space="preserve">On the Q1 call, management</w:t>
      </w:r>
      <w:r>
        <w:t xml:space="preserve"> </w:t>
      </w:r>
      <w:r>
        <w:rPr>
          <w:b/>
          <w:bCs/>
        </w:rPr>
        <w:t xml:space="preserve">raised the 2026 outlook to "low double-digit" sales growth</w:t>
      </w:r>
      <w:r>
        <w:t xml:space="preserve"> </w:t>
      </w:r>
      <w:r>
        <w:t xml:space="preserve">(from prior), with stronger growth expected across all three segments, and lifted **MP&amp;E free cash flow guidance above 2025's</w:t>
      </w:r>
      <w:r>
        <w:t xml:space="preserve"> </w:t>
      </w:r>
      <m:oMath>
        <m:r>
          <m:t>9.5</m:t>
        </m:r>
        <m:r>
          <m:t>B</m:t>
        </m:r>
        <m:r>
          <m:rPr>
            <m:sty m:val="p"/>
          </m:rPr>
          <m:t>*</m:t>
        </m:r>
        <m:r>
          <m:rPr>
            <m:sty m:val="p"/>
          </m:rPr>
          <m:t>*</m:t>
        </m:r>
        <m:r>
          <m:rPr>
            <m:sty m:val="p"/>
          </m:rPr>
          <m:t>.</m:t>
        </m:r>
        <m:r>
          <m:t>C</m:t>
        </m:r>
        <m:r>
          <m:t>a</m:t>
        </m:r>
        <m:r>
          <m:t>p</m:t>
        </m:r>
        <m:r>
          <m:t>E</m:t>
        </m:r>
        <m:r>
          <m:t>x</m:t>
        </m:r>
        <m:r>
          <m:t> </m:t>
        </m:r>
      </m:oMath>
      <w:r>
        <w:t xml:space="preserve">3.5B; tax rate ~23%. Given the momentum, another guidance bump is plausible — and arguably needed to justify the multiple.</w:t>
      </w:r>
    </w:p>
    <w:p>
      <w:pPr>
        <w:pStyle w:val="Compact"/>
        <w:numPr>
          <w:ilvl w:val="0"/>
          <w:numId w:val="1005"/>
        </w:numPr>
      </w:pPr>
      <w:r>
        <w:t xml:space="preserve">Capital return remains aggressive: **</w:t>
      </w:r>
      <m:oMath>
        <m:r>
          <m:t>5.7</m:t>
        </m:r>
        <m:r>
          <m:t>B</m:t>
        </m:r>
        <m:r>
          <m:t>r</m:t>
        </m:r>
        <m:r>
          <m:t>e</m:t>
        </m:r>
        <m:r>
          <m:t>t</m:t>
        </m:r>
        <m:r>
          <m:t>u</m:t>
        </m:r>
        <m:r>
          <m:t>r</m:t>
        </m:r>
        <m:r>
          <m:t>n</m:t>
        </m:r>
        <m:r>
          <m:t>e</m:t>
        </m:r>
        <m:r>
          <m:t>d</m:t>
        </m:r>
        <m:r>
          <m:t>i</m:t>
        </m:r>
        <m:r>
          <m:t>n</m:t>
        </m:r>
        <m:r>
          <m:t>Q</m:t>
        </m:r>
        <m:r>
          <m:t>1</m:t>
        </m:r>
        <m:r>
          <m:rPr>
            <m:sty m:val="p"/>
          </m:rPr>
          <m:t>*</m:t>
        </m:r>
        <m:r>
          <m:rPr>
            <m:sty m:val="p"/>
          </m:rPr>
          <m:t>*</m:t>
        </m:r>
        <m:r>
          <m:rPr>
            <m:sty m:val="p"/>
          </m:rPr>
          <m:t>(</m:t>
        </m:r>
      </m:oMath>
      <w:r>
        <w:t xml:space="preserve">5.0B buybacks incl. a $4.5B ASR + $0.7B dividends). Cash fell to $4.1B after that deployment.</w:t>
      </w:r>
    </w:p>
    <w:p>
      <w:pPr>
        <w:pStyle w:val="Compact"/>
        <w:numPr>
          <w:ilvl w:val="0"/>
          <w:numId w:val="1005"/>
        </w:numPr>
      </w:pPr>
      <w:r>
        <w:rPr>
          <w:b/>
          <w:bCs/>
        </w:rPr>
        <w:t xml:space="preserve">First call for new CFO Kyle Epley</w:t>
      </w:r>
      <w:r>
        <w:t xml:space="preserve"> </w:t>
      </w:r>
      <w:r>
        <w:t xml:space="preserve">(Andrew Bonfield retired after Q1). Watch tone/framing on the 2030 targets he helped build.</w:t>
      </w:r>
    </w:p>
    <w:p>
      <w:r>
        <w:pict>
          <v:rect style="width:0;height:1.5pt" o:hralign="center" o:hrstd="t" o:hr="t"/>
        </w:pict>
      </w:r>
    </w:p>
    <w:bookmarkEnd w:id="15"/>
    <w:bookmarkStart w:id="16" w:name="X332e16d36966b2555ac8e5688ce1f5796e1ee9f"/>
    <w:p>
      <w:pPr>
        <w:pStyle w:val="Heading2"/>
      </w:pPr>
      <w:r>
        <w:t xml:space="preserve">Valuation &amp; price action — why the risk/reward is tricky</w:t>
      </w:r>
    </w:p>
    <w:p>
      <w:pPr>
        <w:pStyle w:val="FirstParagraph"/>
      </w:pPr>
      <w:r>
        <w:t xml:space="preserve">This is the crux of the setup. The stock has been on a historic run and then rolled over hard:</w:t>
      </w:r>
    </w:p>
    <w:p>
      <w:pPr>
        <w:pStyle w:val="Compact"/>
        <w:numPr>
          <w:ilvl w:val="0"/>
          <w:numId w:val="1006"/>
        </w:numPr>
      </w:pPr>
      <w:r>
        <w:t xml:space="preserve">CAT ran from ~</w:t>
      </w:r>
      <m:oMath>
        <m:r>
          <m:t>430</m:t>
        </m:r>
        <m:r>
          <m:t>i</m:t>
        </m:r>
        <m:r>
          <m:t>n</m:t>
        </m:r>
        <m:r>
          <m:t>A</m:t>
        </m:r>
        <m:r>
          <m:t>u</m:t>
        </m:r>
        <m:r>
          <m:t>g</m:t>
        </m:r>
        <m:r>
          <m:t>u</m:t>
        </m:r>
        <m:r>
          <m:t>s</m:t>
        </m:r>
        <m:r>
          <m:t>t</m:t>
        </m:r>
        <m:r>
          <m:t>2025</m:t>
        </m:r>
        <m:r>
          <m:t>t</m:t>
        </m:r>
        <m:r>
          <m:t>o</m:t>
        </m:r>
        <m:r>
          <m:t>a</m:t>
        </m:r>
        <m:r>
          <m:t>n</m:t>
        </m:r>
        <m:r>
          <m:t>a</m:t>
        </m:r>
        <m:r>
          <m:t>l</m:t>
        </m:r>
        <m:r>
          <m:t>l</m:t>
        </m:r>
        <m:r>
          <m:rPr>
            <m:sty m:val="p"/>
          </m:rPr>
          <m:t>−</m:t>
        </m:r>
        <m:r>
          <m:t>t</m:t>
        </m:r>
        <m:r>
          <m:t>i</m:t>
        </m:r>
        <m:r>
          <m:t>m</m:t>
        </m:r>
        <m:r>
          <m:t>e</m:t>
        </m:r>
        <m:r>
          <m:t>h</m:t>
        </m:r>
        <m:r>
          <m:t>i</m:t>
        </m:r>
        <m:r>
          <m:t>g</m:t>
        </m:r>
        <m:r>
          <m:t>h</m:t>
        </m:r>
        <m:r>
          <m:t>n</m:t>
        </m:r>
        <m:r>
          <m:t>e</m:t>
        </m:r>
        <m:r>
          <m:t>a</m:t>
        </m:r>
        <m:r>
          <m:t>r</m:t>
        </m:r>
        <m:r>
          <m:rPr>
            <m:sty m:val="p"/>
          </m:rPr>
          <m:t>*</m:t>
        </m:r>
        <m:r>
          <m:rPr>
            <m:sty m:val="p"/>
          </m:rPr>
          <m:t>*</m:t>
        </m:r>
      </m:oMath>
      <w:r>
        <w:t xml:space="preserve">1,065 on June 30, 2026**, then fell **~26% to ~</w:t>
      </w:r>
      <m:oMath>
        <m:r>
          <m:t>783</m:t>
        </m:r>
        <m:r>
          <m:rPr>
            <m:sty m:val="p"/>
          </m:rPr>
          <m:t>*</m:t>
        </m:r>
        <m:r>
          <m:rPr>
            <m:sty m:val="p"/>
          </m:rPr>
          <m:t>*</m:t>
        </m:r>
        <m:r>
          <m:t>i</m:t>
        </m:r>
        <m:r>
          <m:t>n</m:t>
        </m:r>
        <m:r>
          <m:t>t</m:t>
        </m:r>
        <m:r>
          <m:t>o</m:t>
        </m:r>
        <m:r>
          <m:t>t</m:t>
        </m:r>
        <m:r>
          <m:t>h</m:t>
        </m:r>
        <m:r>
          <m:t>e</m:t>
        </m:r>
        <m:r>
          <m:t>J</m:t>
        </m:r>
        <m:r>
          <m:t>u</m:t>
        </m:r>
        <m:r>
          <m:t>l</m:t>
        </m:r>
        <m:r>
          <m:t>y</m:t>
        </m:r>
        <m:r>
          <m:t>29</m:t>
        </m:r>
        <m:r>
          <m:t>B</m:t>
        </m:r>
        <m:r>
          <m:t>a</m:t>
        </m:r>
        <m:r>
          <m:t>i</m:t>
        </m:r>
        <m:r>
          <m:t>r</m:t>
        </m:r>
        <m:r>
          <m:t>d</m:t>
        </m:r>
        <m:r>
          <m:t>d</m:t>
        </m:r>
        <m:r>
          <m:t>o</m:t>
        </m:r>
        <m:r>
          <m:t>w</m:t>
        </m:r>
        <m:r>
          <m:t>n</m:t>
        </m:r>
        <m:r>
          <m:t>g</m:t>
        </m:r>
        <m:r>
          <m:t>r</m:t>
        </m:r>
        <m:r>
          <m:t>a</m:t>
        </m:r>
        <m:r>
          <m:t>d</m:t>
        </m:r>
        <m:r>
          <m:t>e</m:t>
        </m:r>
        <m:r>
          <m:rPr>
            <m:sty m:val="p"/>
          </m:rPr>
          <m:t>,</m:t>
        </m:r>
        <m:r>
          <m:t>a</m:t>
        </m:r>
        <m:r>
          <m:t>n</m:t>
        </m:r>
        <m:r>
          <m:t>d</m:t>
        </m:r>
        <m:r>
          <m:t>s</m:t>
        </m:r>
        <m:r>
          <m:t>i</m:t>
        </m:r>
        <m:r>
          <m:t>t</m:t>
        </m:r>
        <m:r>
          <m:t>s</m:t>
        </m:r>
        <m:r>
          <m:t>a</m:t>
        </m:r>
        <m:r>
          <m:t>r</m:t>
        </m:r>
        <m:r>
          <m:t>o</m:t>
        </m:r>
        <m:r>
          <m:t>u</m:t>
        </m:r>
        <m:r>
          <m:t>n</m:t>
        </m:r>
        <m:r>
          <m:t>d</m:t>
        </m:r>
        <m:r>
          <m:rPr>
            <m:sty m:val="p"/>
          </m:rPr>
          <m:t>*</m:t>
        </m:r>
        <m:r>
          <m:rPr>
            <m:sty m:val="p"/>
          </m:rPr>
          <m:t>*</m:t>
        </m:r>
      </m:oMath>
      <w:r>
        <w:t xml:space="preserve">830** entering the print — roughly</w:t>
      </w:r>
      <w:r>
        <w:t xml:space="preserve"> </w:t>
      </w:r>
      <w:r>
        <w:rPr>
          <w:b/>
          <w:bCs/>
        </w:rPr>
        <w:t xml:space="preserve">22% off its peak</w:t>
      </w:r>
      <w:r>
        <w:t xml:space="preserve">.</w:t>
      </w:r>
    </w:p>
    <w:p>
      <w:pPr>
        <w:pStyle w:val="Compact"/>
        <w:numPr>
          <w:ilvl w:val="0"/>
          <w:numId w:val="1006"/>
        </w:numPr>
      </w:pPr>
      <w:r>
        <w:t xml:space="preserve">Coming into the recent downgrade, CAT was up 47% year-to-date and 96% over the past 12 months.</w:t>
      </w:r>
    </w:p>
    <w:p>
      <w:pPr>
        <w:pStyle w:val="Compact"/>
        <w:numPr>
          <w:ilvl w:val="0"/>
          <w:numId w:val="1006"/>
        </w:numPr>
      </w:pPr>
      <w:r>
        <w:t xml:space="preserve">At ~</w:t>
      </w:r>
      <m:oMath>
        <m:r>
          <m:t>830</m:t>
        </m:r>
        <m:r>
          <m:rPr>
            <m:sty m:val="p"/>
          </m:rPr>
          <m:t>,</m:t>
        </m:r>
        <m:r>
          <m:t>s</m:t>
        </m:r>
        <m:r>
          <m:t>h</m:t>
        </m:r>
        <m:r>
          <m:t>a</m:t>
        </m:r>
        <m:r>
          <m:t>r</m:t>
        </m:r>
        <m:r>
          <m:t>e</m:t>
        </m:r>
        <m:r>
          <m:t>s</m:t>
        </m:r>
        <m:r>
          <m:t>t</m:t>
        </m:r>
        <m:r>
          <m:t>r</m:t>
        </m:r>
        <m:r>
          <m:t>a</m:t>
        </m:r>
        <m:r>
          <m:t>d</m:t>
        </m:r>
        <m:r>
          <m:t>e</m:t>
        </m:r>
        <m:r>
          <m:t>a</m:t>
        </m:r>
        <m:r>
          <m:t>r</m:t>
        </m:r>
        <m:r>
          <m:t>o</m:t>
        </m:r>
        <m:r>
          <m:t>u</m:t>
        </m:r>
        <m:r>
          <m:t>n</m:t>
        </m:r>
        <m:r>
          <m:t>d</m:t>
        </m:r>
        <m:r>
          <m:rPr>
            <m:sty m:val="p"/>
          </m:rPr>
          <m:t>*</m:t>
        </m:r>
        <m:r>
          <m:rPr>
            <m:sty m:val="p"/>
          </m:rPr>
          <m:t>*</m:t>
        </m:r>
        <m:r>
          <m:t>33</m:t>
        </m:r>
        <m:r>
          <m:t>x</m:t>
        </m:r>
        <m:r>
          <m:rPr>
            <m:sty m:val="p"/>
          </m:rPr>
          <m:t>*</m:t>
        </m:r>
        <m:r>
          <m:rPr>
            <m:sty m:val="p"/>
          </m:rPr>
          <m:t>*</m:t>
        </m:r>
        <m:r>
          <m:t>t</m:t>
        </m:r>
        <m:r>
          <m:t>h</m:t>
        </m:r>
        <m:r>
          <m:t>e</m:t>
        </m:r>
        <m:r>
          <m:t>F</m:t>
        </m:r>
        <m:r>
          <m:t>Y</m:t>
        </m:r>
        <m:r>
          <m:t>26</m:t>
        </m:r>
        <m:r>
          <m:t>c</m:t>
        </m:r>
        <m:r>
          <m:t>o</m:t>
        </m:r>
        <m:r>
          <m:t>n</m:t>
        </m:r>
        <m:r>
          <m:t>s</m:t>
        </m:r>
        <m:r>
          <m:t>e</m:t>
        </m:r>
        <m:r>
          <m:t>n</m:t>
        </m:r>
        <m:r>
          <m:t>s</m:t>
        </m:r>
        <m:r>
          <m:t>u</m:t>
        </m:r>
        <m:r>
          <m:t>s</m:t>
        </m:r>
        <m:r>
          <m:t>E</m:t>
        </m:r>
        <m:r>
          <m:t>P</m:t>
        </m:r>
        <m:r>
          <m:t>S</m:t>
        </m:r>
        <m:r>
          <m:t>o</m:t>
        </m:r>
        <m:r>
          <m:t>f</m:t>
        </m:r>
        <m:r>
          <m:rPr>
            <m:sty m:val="p"/>
          </m:rPr>
          <m:t>*</m:t>
        </m:r>
        <m:r>
          <m:rPr>
            <m:sty m:val="p"/>
          </m:rPr>
          <m:t>*</m:t>
        </m:r>
      </m:oMath>
      <w:r>
        <w:t xml:space="preserve">24.85** and **~27x** FY27's</w:t>
      </w:r>
      <w:r>
        <w:t xml:space="preserve"> </w:t>
      </w:r>
      <w:r>
        <w:rPr>
          <w:b/>
          <w:bCs/>
        </w:rPr>
        <w:t xml:space="preserve">$31.08</w:t>
      </w:r>
      <w:r>
        <w:t xml:space="preserve"> </w:t>
      </w:r>
      <w:r>
        <w:t xml:space="preserve">— expensive for CAT historically, on a stock rated "Moderate Buy." Analysts project FY26 EPS of $24.85, up 30.4% from $19.06 in fiscal 2025, and further ~25% growth to $31.08 in fiscal 2027.</w:t>
      </w:r>
    </w:p>
    <w:p>
      <w:pPr>
        <w:pStyle w:val="Compact"/>
        <w:numPr>
          <w:ilvl w:val="0"/>
          <w:numId w:val="1006"/>
        </w:numPr>
      </w:pPr>
      <w:r>
        <w:t xml:space="preserve">The stock heads into earnings with an average analyst price target of roughly $959 versus a share price near $814 — implying analysts still see upside, but the recent de-rating shows the market is beginning to price in AI-demand doubts.</w:t>
      </w:r>
    </w:p>
    <w:p>
      <w:r>
        <w:pict>
          <v:rect style="width:0;height:1.5pt" o:hralign="center" o:hrstd="t" o:hr="t"/>
        </w:pict>
      </w:r>
    </w:p>
    <w:bookmarkEnd w:id="16"/>
    <w:bookmarkStart w:id="17" w:name="bottom-line--what-will-move-the-stock"/>
    <w:p>
      <w:pPr>
        <w:pStyle w:val="Heading2"/>
      </w:pPr>
      <w:r>
        <w:t xml:space="preserve">Bottom line — what will move the stock</w:t>
      </w:r>
    </w:p>
    <w:p>
      <w:pPr>
        <w:pStyle w:val="Compact"/>
        <w:numPr>
          <w:ilvl w:val="0"/>
          <w:numId w:val="1007"/>
        </w:numPr>
      </w:pPr>
      <w:r>
        <w:rPr>
          <w:b/>
          <w:bCs/>
        </w:rPr>
        <w:t xml:space="preserve">Backlog &amp; P&amp;E orders</w:t>
      </w:r>
      <w:r>
        <w:t xml:space="preserve"> </w:t>
      </w:r>
      <w:r>
        <w:t xml:space="preserve">— after a record $63B, any deceleration (or, conversely, another leg up) is the swing factor for the AI thesis. This trumps the headline EPS beat.</w:t>
      </w:r>
    </w:p>
    <w:p>
      <w:pPr>
        <w:pStyle w:val="Compact"/>
        <w:numPr>
          <w:ilvl w:val="0"/>
          <w:numId w:val="1007"/>
        </w:numPr>
      </w:pPr>
      <w:r>
        <w:rPr>
          <w:b/>
          <w:bCs/>
        </w:rPr>
        <w:t xml:space="preserve">Data-center demand commentary</w:t>
      </w:r>
      <w:r>
        <w:t xml:space="preserve"> </w:t>
      </w:r>
      <w:r>
        <w:t xml:space="preserve">— management must directly address the regulatory/hyperscaler-capex concerns Baird flagged; the market is now hunting for cracks.</w:t>
      </w:r>
    </w:p>
    <w:p>
      <w:pPr>
        <w:pStyle w:val="Compact"/>
        <w:numPr>
          <w:ilvl w:val="0"/>
          <w:numId w:val="1007"/>
        </w:numPr>
      </w:pPr>
      <w:r>
        <w:rPr>
          <w:b/>
          <w:bCs/>
        </w:rPr>
        <w:t xml:space="preserve">Guidance raise</w:t>
      </w:r>
      <w:r>
        <w:t xml:space="preserve"> </w:t>
      </w:r>
      <w:r>
        <w:t xml:space="preserve">— a lift to full-year sales/margin/FCF is probably needed to support a ~33x multiple.</w:t>
      </w:r>
    </w:p>
    <w:p>
      <w:pPr>
        <w:pStyle w:val="Compact"/>
        <w:numPr>
          <w:ilvl w:val="0"/>
          <w:numId w:val="1007"/>
        </w:numPr>
      </w:pPr>
      <w:r>
        <w:rPr>
          <w:b/>
          <w:bCs/>
        </w:rPr>
        <w:t xml:space="preserve">CI normalization</w:t>
      </w:r>
      <w:r>
        <w:t xml:space="preserve"> </w:t>
      </w:r>
      <w:r>
        <w:t xml:space="preserve">— with the Q1 dealer-inventory tailwind reversing, watch that sales-to-users stays healthy so the "traditional industrial" base doesn't wobble.</w:t>
      </w:r>
    </w:p>
    <w:p>
      <w:pPr>
        <w:pStyle w:val="Compact"/>
        <w:numPr>
          <w:ilvl w:val="0"/>
          <w:numId w:val="1007"/>
        </w:numPr>
      </w:pPr>
      <w:r>
        <w:rPr>
          <w:b/>
          <w:bCs/>
        </w:rPr>
        <w:t xml:space="preserve">Tariffs &amp; RI margins</w:t>
      </w:r>
      <w:r>
        <w:t xml:space="preserve"> </w:t>
      </w:r>
      <w:r>
        <w:t xml:space="preserve">— the ~$700M tariff hit and depressed Resource Industries margin are the main reasons a strong top line may not fully flow through to profit.</w:t>
      </w:r>
    </w:p>
    <w:p>
      <w:pPr>
        <w:pStyle w:val="FirstParagraph"/>
      </w:pPr>
      <w:r>
        <w:t xml:space="preserve">Given consensus of</w:t>
      </w:r>
      <w:r>
        <w:t xml:space="preserve"> </w:t>
      </w:r>
      <w:r>
        <w:rPr>
          <w:b/>
          <w:bCs/>
        </w:rPr>
        <w:t xml:space="preserve">~</w:t>
      </w:r>
      <m:oMath>
        <m:r>
          <m:t>6.20</m:t>
        </m:r>
        <m:r>
          <m:t>E</m:t>
        </m:r>
        <m:r>
          <m:t>P</m:t>
        </m:r>
        <m:r>
          <m:t>S</m:t>
        </m:r>
        <m:r>
          <m:rPr>
            <m:sty m:val="p"/>
          </m:rPr>
          <m:t>/</m:t>
        </m:r>
        <m:r>
          <m:t> </m:t>
        </m:r>
      </m:oMath>
      <w:r>
        <w:rPr>
          <w:b/>
          <w:bCs/>
        </w:rPr>
        <w:t xml:space="preserve">19.2B revenue</w:t>
      </w:r>
      <w:r>
        <w:t xml:space="preserve"> </w:t>
      </w:r>
      <w:r>
        <w:t xml:space="preserve">and the recent 20%+ pullback, expectations have cooled somewhat — but the valuation still demands a clean beat</w:t>
      </w:r>
      <w:r>
        <w:t xml:space="preserve"> </w:t>
      </w:r>
      <w:r>
        <w:rPr>
          <w:i/>
          <w:iCs/>
        </w:rPr>
        <w:t xml:space="preserve">and</w:t>
      </w:r>
      <w:r>
        <w:t xml:space="preserve"> </w:t>
      </w:r>
      <w:r>
        <w:t xml:space="preserve">reassuring forward data-center commentary. The asymmetry looks skewed toward outsized volatility either direction.</w:t>
      </w:r>
    </w:p>
    <w:p>
      <w:pPr>
        <w:pStyle w:val="BodyText"/>
      </w:pPr>
      <w:r>
        <w:rPr>
          <w:i/>
          <w:iCs/>
        </w:rPr>
        <w:t xml:space="preserve">Note: figures on prior quarters and guidance are drawn from Caterpillar's Q1 2026 and Q2 2025 earnings releases and the Q1 2026 call transcript; consensus, price-target and analyst-sentiment figures are from public news/analyst commentary dated within the last few weeks. Reminder that beginning in 2026 CAT reports under a revised segment structure (Power &amp; Energy, Construction Industries, and Resource Industries — the latter now including Rail), so year-ago segment comparisons use recast historicals.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2026-08-04T00:43:25Z</dcterms:created>
  <dcterms:modified xsi:type="dcterms:W3CDTF">2026-08-04T00:43:25Z</dcterms:modified>
</cp:coreProperties>
</file>

<file path=docProps/custom.xml><?xml version="1.0" encoding="utf-8"?>
<Properties xmlns="http://schemas.openxmlformats.org/officeDocument/2006/custom-properties" xmlns:vt="http://schemas.openxmlformats.org/officeDocument/2006/docPropsVTypes"/>
</file>