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at-earnings-predictions--2026-08-04"/>
    <w:p>
      <w:pPr>
        <w:pStyle w:val="Heading1"/>
      </w:pPr>
      <w:r>
        <w:t xml:space="preserve">CAT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~$6.35 vs. cons $6.25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~$19.5B vs. cons $19.3B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Resource Industries operating margin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~11.0% vs. cons ~12.5%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growth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~mid-teens vs. cons low-double-digits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tariff cost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~$2.0-2.2B vs. cons $2.2-2.4B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operating margin positioning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~near bottom of target range vs. cons near bottom of target range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2030 Enterprise Revenue CAGR / Power Gen 3x target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~6-9% CAGR vs. cons 6-9% CAGR (2030 target reaffirmed)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+2.0% (FADE)</w:t>
            </w:r>
          </w:p>
        </w:tc>
        <w:tc>
          <w:tcPr/>
          <w:p>
            <w:pPr>
              <w:pStyle w:val="Compact"/>
            </w:pPr>
            <w:r>
              <w:t xml:space="preserve">Headline EPS/revenue beat plus reaffirmed 2030 power-gen targets should spark an initial relief rally given the stock's 22% pullback and reset expectations, but Resource Industries margin still lagging on tariffs, no incremental step-up in tariff guidance beyond already-known Section 122 relief, and lingering Baird-style regulatory overhang on data-center backlog durability mean analysts are likely to trim out-period margin/EPS estimates even as top-line numbers get bumped up, causing the initial pop to partially fade over the following days rather than build into sustained follow-through.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2026-08-04T00:42:01Z</dcterms:created>
  <dcterms:modified xsi:type="dcterms:W3CDTF">2026-08-04T00:42:01Z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