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caterpillar-cat-q2-2026-earnings-preview"/>
    <w:p>
      <w:pPr>
        <w:pStyle w:val="Heading1"/>
      </w:pPr>
      <w:r>
        <w:t xml:space="preserve">Caterpillar (CAT) Q2 2026 Earnings Preview</w:t>
      </w:r>
    </w:p>
    <w:p>
      <w:pPr>
        <w:pStyle w:val="FirstParagraph"/>
      </w:pPr>
      <w:r>
        <w:rPr>
          <w:b/>
          <w:bCs/>
        </w:rPr>
        <w:t xml:space="preserve">Report Date:</w:t>
      </w:r>
      <w:r>
        <w:t xml:space="preserve"> </w:t>
      </w:r>
      <w:r>
        <w:t xml:space="preserve">Tomorrow, August 4,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07253e936232058fa225ceb0e38b98df8179107"/>
    <w:p>
      <w:pPr>
        <w:pStyle w:val="Heading2"/>
      </w:pPr>
      <w:r>
        <w:t xml:space="preserve">Setup: A Stock That's Cooled Off Sharply Into the Print</w:t>
      </w:r>
    </w:p>
    <w:p>
      <w:pPr>
        <w:pStyle w:val="FirstParagraph"/>
      </w:pPr>
      <w:r>
        <w:t xml:space="preserve">Caterpillar goes into this quarter's report in a very different position than it has for most of 2026. After ripping from the low-$400s a year ago to an all-time high above $1,073 in late June — driven by the market re-rating CAT as a quasi-AI/data-center power play — the stock has fallen roughly 22% from that peak, closing around $830 heading into the report. Consensus expects Caterpillar to post EPS of</w:t>
      </w:r>
      <w:r>
        <w:t xml:space="preserve"> </w:t>
      </w:r>
      <m:oMath>
        <m:r>
          <m:t>6.20</m:t>
        </m:r>
        <m:r>
          <m:rPr>
            <m:sty m:val="p"/>
          </m:rPr>
          <m:t>−</m:t>
        </m:r>
      </m:oMath>
      <w:r>
        <w:t xml:space="preserve">6.25 (up ~31-32% y/y) on revenue of roughly</w:t>
      </w:r>
      <w:r>
        <w:t xml:space="preserve"> </w:t>
      </w:r>
      <m:oMath>
        <m:r>
          <m:t>19.2</m:t>
        </m:r>
        <m:r>
          <m:rPr>
            <m:sty m:val="p"/>
          </m:rPr>
          <m:t>−</m:t>
        </m:r>
      </m:oMath>
      <w:r>
        <w:t xml:space="preserve">19.3 billion (up ~15-17% y/y).</w:t>
      </w:r>
    </w:p>
    <w:p>
      <w:pPr>
        <w:pStyle w:val="BodyText"/>
      </w:pPr>
      <w:r>
        <w:t xml:space="preserve">Caterpillar is expected to deliver year-over-year improvement in both earnings and revenues when it reports second-quarter 2026 results on August 4, before the opening bell, with the Zacks Consensus Estimate moved up to $6.25 per share (implying 32% growth) and revenues pegged at $19.31 billion (16.6% growth). Wall Street on average expects EPS of $6.20 (+31.4% y/y) on revenue of $19.2B (+15.7% y/y).</w:t>
      </w:r>
    </w:p>
    <w:p>
      <w:pPr>
        <w:pStyle w:val="BodyText"/>
      </w:pPr>
      <w:r>
        <w:t xml:space="preserve">The pullback has two drivers: a broad market re-think of "AI capex durability" trades, and a stock-specific catalyst — a July 29 downgrade. Analyst sentiment remains split: Truist has a $1,043 price target, Argus raised its target to $990 with a Buy rating, Rothschild &amp; Co Redburn raised its target to $950 (Neutral), and Morgan Stanley set a $915 target (Equal Weight); overall 16 analysts rate the stock Buy and 9 rate it Hold, with a "Moderate Buy" consensus. Baird's Mig Dobre cut CAT to Hold from Buy and slashed his price target to $900 from $1,200, specifically citing mounting regulatory risk to data-center buildout — including New York State's moratorium on data-center construction, which he argued raises costs, adds approval hurdles, and could slow the investment cycle Caterpillar's power-generation backlog depends on. Coming into that downgrade, CAT had been up 47% YTD and 96% over the trailing year.</w:t>
      </w:r>
    </w:p>
    <w:p>
      <w:pPr>
        <w:pStyle w:val="BodyText"/>
      </w:pPr>
      <w:r>
        <w:t xml:space="preserve">That tension — a company whose growth story has become inseparable from AI/data-center power demand, trading at a rich multiple, now facing the market's first real skepticism about that narrative — is the central lens for tomorrow's print.</w:t>
      </w:r>
    </w:p>
    <w:p>
      <w:r>
        <w:pict>
          <v:rect style="width:0;height:1.5pt" o:hralign="center" o:hrstd="t" o:hr="t"/>
        </w:pict>
      </w:r>
    </w:p>
    <w:bookmarkEnd w:id="9"/>
    <w:bookmarkStart w:id="10" w:name="X76e3c8fc15465f8dcdfeeb2fa38de96717c507a"/>
    <w:p>
      <w:pPr>
        <w:pStyle w:val="Heading2"/>
      </w:pPr>
      <w:r>
        <w:t xml:space="preserve">What Happened Last Quarter (Q1 2026): The Bar Getting Set</w:t>
      </w:r>
    </w:p>
    <w:p>
      <w:pPr>
        <w:pStyle w:val="FirstParagraph"/>
      </w:pPr>
      <w:r>
        <w:t xml:space="preserve">Caterpillar's Q1 was a blowout that reset expectations meaningfully higher:</w:t>
      </w:r>
    </w:p>
    <w:p>
      <w:pPr>
        <w:pStyle w:val="Compact"/>
        <w:numPr>
          <w:ilvl w:val="0"/>
          <w:numId w:val="1001"/>
        </w:numPr>
      </w:pPr>
      <w:r>
        <w:rPr>
          <w:b/>
          <w:bCs/>
        </w:rPr>
        <w:t xml:space="preserve">Sales &amp; revenue:</w:t>
      </w:r>
      <w:r>
        <w:t xml:space="preserve"> </w:t>
      </w:r>
      <m:oMath>
        <m:r>
          <m:t>17.4</m:t>
        </m:r>
        <m:r>
          <m:t>B</m:t>
        </m:r>
        <m:r>
          <m:rPr>
            <m:sty m:val="p"/>
          </m:rPr>
          <m:t>,</m:t>
        </m:r>
        <m:r>
          <m:rPr>
            <m:sty m:val="p"/>
          </m:rPr>
          <m:t>+</m:t>
        </m:r>
        <m:r>
          <m:t>22</m:t>
        </m:r>
      </m:oMath>
      <w:r>
        <w:t xml:space="preserve">16.5B).</w:t>
      </w:r>
    </w:p>
    <w:p>
      <w:pPr>
        <w:pStyle w:val="Compact"/>
        <w:numPr>
          <w:ilvl w:val="0"/>
          <w:numId w:val="1001"/>
        </w:numPr>
      </w:pPr>
      <w:r>
        <w:rPr>
          <w:b/>
          <w:bCs/>
        </w:rPr>
        <w:t xml:space="preserve">Adjusted EPS:</w:t>
      </w:r>
      <w:r>
        <w:t xml:space="preserve"> </w:t>
      </w:r>
      <m:oMath>
        <m:r>
          <m:t>5.54</m:t>
        </m:r>
        <m:r>
          <m:rPr>
            <m:sty m:val="p"/>
          </m:rPr>
          <m:t>,</m:t>
        </m:r>
        <m:r>
          <m:rPr>
            <m:sty m:val="p"/>
          </m:rPr>
          <m:t>+</m:t>
        </m:r>
        <m:r>
          <m:t>30</m:t>
        </m:r>
      </m:oMath>
      <w:r>
        <w:t xml:space="preserve">4.65.</w:t>
      </w:r>
    </w:p>
    <w:p>
      <w:pPr>
        <w:pStyle w:val="Compact"/>
        <w:numPr>
          <w:ilvl w:val="0"/>
          <w:numId w:val="1001"/>
        </w:numPr>
      </w:pPr>
      <w:r>
        <w:rPr>
          <w:b/>
          <w:bCs/>
        </w:rPr>
        <w:t xml:space="preserve">Backlog:</w:t>
      </w:r>
      <w:r>
        <w:t xml:space="preserve"> </w:t>
      </w:r>
      <w:r>
        <w:t xml:space="preserve">A record $63 billion, up $28B (+79%) y/y, with all three primary segments contributing to growth, and Q1 orders were an all-time record.</w:t>
      </w:r>
    </w:p>
    <w:p>
      <w:pPr>
        <w:pStyle w:val="Compact"/>
        <w:numPr>
          <w:ilvl w:val="0"/>
          <w:numId w:val="1001"/>
        </w:numPr>
      </w:pPr>
      <w:r>
        <w:rPr>
          <w:b/>
          <w:bCs/>
        </w:rPr>
        <w:t xml:space="preserve">Capital returns:</w:t>
      </w:r>
      <w:r>
        <w:t xml:space="preserve"> </w:t>
      </w:r>
      <w:r>
        <w:t xml:space="preserve">$5.7B deployed to shareholders (buybacks + dividends), including the start of a $4.5B accelerated share repurchase program.</w:t>
      </w:r>
    </w:p>
    <w:p>
      <w:pPr>
        <w:pStyle w:val="Compact"/>
        <w:numPr>
          <w:ilvl w:val="0"/>
          <w:numId w:val="1001"/>
        </w:numPr>
      </w:pPr>
      <w:r>
        <w:rPr>
          <w:b/>
          <w:bCs/>
        </w:rPr>
        <w:t xml:space="preserve">Guidance raise:</w:t>
      </w:r>
      <w:r>
        <w:t xml:space="preserve"> </w:t>
      </w:r>
      <w:r>
        <w:t xml:space="preserve">Management raised FY2026 sales growth guidance to "low double digits," pushed full-year margin expectations higher, and — most notably — raised the 2030 enterprise revenue CAGR target to 6-9% (from prior target) and now expects Power Generation sales to be more than 3x 2024 levels by 2030, driven by an increase in large reciprocating engine capacity to nearly 3x 2024 levels (up from a prior 2x plan).</w:t>
      </w:r>
    </w:p>
    <w:p>
      <w:pPr>
        <w:pStyle w:val="Compact"/>
        <w:numPr>
          <w:ilvl w:val="0"/>
          <w:numId w:val="1001"/>
        </w:numPr>
      </w:pPr>
      <w:r>
        <w:rPr>
          <w:b/>
          <w:bCs/>
        </w:rPr>
        <w:t xml:space="preserve">Leadership transition:</w:t>
      </w:r>
      <w:r>
        <w:t xml:space="preserve"> </w:t>
      </w:r>
      <w:r>
        <w:t xml:space="preserve">CFO Andrew Bonfield retired after the quarter (Kyle Epley now CFO) — a modest but real transition risk for a company mid-way through a huge capacity buildout.</w:t>
      </w:r>
    </w:p>
    <w:p>
      <w:pPr>
        <w:pStyle w:val="FirstParagraph"/>
      </w:pPr>
      <w:r>
        <w:t xml:space="preserve">Segment detail worth remembering heading into Q2: Power &amp; Energy margin fell 170bps y/y to 20.6% (tariffs cost ~270bps); Construction Industries margin actually rose 160bps to 21.4% despite absorbing ~550bps of tariff drag, on strong price/volume; Resource Industries margin collapsed 700bps to 10.0% on tariffs (~500bps) plus short-term production delays and discount timing — even as RI logged its strongest order quarter since 2012.</w:t>
      </w:r>
    </w:p>
    <w:p>
      <w:r>
        <w:pict>
          <v:rect style="width:0;height:1.5pt" o:hralign="center" o:hrstd="t" o:hr="t"/>
        </w:pict>
      </w:r>
    </w:p>
    <w:bookmarkEnd w:id="10"/>
    <w:bookmarkStart w:id="11" w:name="what-to-watch-in-q2"/>
    <w:p>
      <w:pPr>
        <w:pStyle w:val="Heading2"/>
      </w:pPr>
      <w:r>
        <w:t xml:space="preserve">What to Watch in Q2</w:t>
      </w:r>
    </w:p>
    <w:p>
      <w:pPr>
        <w:pStyle w:val="FirstParagraph"/>
      </w:pPr>
      <w:r>
        <w:rPr>
          <w:b/>
          <w:bCs/>
        </w:rPr>
        <w:t xml:space="preserve">1. Power &amp; Energy / data-center power-gen momentum.</w:t>
      </w:r>
      <w:r>
        <w:t xml:space="preserve"> </w:t>
      </w:r>
      <w:r>
        <w:t xml:space="preserve">This remains the single biggest swing factor for the stock. Watch for: updates on the large-engine capacity ramp (management said it's tracking</w:t>
      </w:r>
      <w:r>
        <w:t xml:space="preserve"> </w:t>
      </w:r>
      <w:r>
        <w:rPr>
          <w:i/>
          <w:iCs/>
        </w:rPr>
        <w:t xml:space="preserve">ahead</w:t>
      </w:r>
      <w:r>
        <w:t xml:space="preserve"> </w:t>
      </w:r>
      <w:r>
        <w:t xml:space="preserve">of plan), any new gigawatt-scale prime-power agreements (CAT had signed six 1-GW+ deals as of the Q1 call), and commentary on the durability of hyperscaler capex given this week's mixed AI-capex signals (Microsoft's blowout quarter vs. lingering worries about ROI on AI infrastructure spend elsewhere in the market). Any hint that state/local regulatory friction (the Baird thesis) is showing up in order cancellations or delays would be a major red flag; conversely, continued backlog acceleration would validate the bull case.</w:t>
      </w:r>
    </w:p>
    <w:p>
      <w:pPr>
        <w:pStyle w:val="BodyText"/>
      </w:pPr>
      <w:r>
        <w:rPr>
          <w:b/>
          <w:bCs/>
        </w:rPr>
        <w:t xml:space="preserve">2. Tariff costs and margin trajectory.</w:t>
      </w:r>
      <w:r>
        <w:t xml:space="preserve"> </w:t>
      </w:r>
      <w:r>
        <w:t xml:space="preserve">Management guided to ~</w:t>
      </w:r>
      <m:oMath>
        <m:r>
          <m:t>700</m:t>
        </m:r>
        <m:r>
          <m:t>m</m:t>
        </m:r>
        <m:r>
          <m:t>i</m:t>
        </m:r>
        <m:r>
          <m:t>l</m:t>
        </m:r>
        <m:r>
          <m:t>l</m:t>
        </m:r>
        <m:r>
          <m:t>i</m:t>
        </m:r>
        <m:r>
          <m:t>o</m:t>
        </m:r>
        <m:r>
          <m:t>n</m:t>
        </m:r>
        <m:r>
          <m:t>o</m:t>
        </m:r>
        <m:r>
          <m:t>f</m:t>
        </m:r>
        <m:r>
          <m:t>t</m:t>
        </m:r>
        <m:r>
          <m:t>a</m:t>
        </m:r>
        <m:r>
          <m:t>r</m:t>
        </m:r>
        <m:r>
          <m:t>i</m:t>
        </m:r>
        <m:r>
          <m:t>f</m:t>
        </m:r>
        <m:r>
          <m:t>f</m:t>
        </m:r>
        <m:r>
          <m:t>c</m:t>
        </m:r>
        <m:r>
          <m:t>o</m:t>
        </m:r>
        <m:r>
          <m:t>s</m:t>
        </m:r>
        <m:r>
          <m:t>t</m:t>
        </m:r>
        <m:r>
          <m:t>s</m:t>
        </m:r>
        <m:r>
          <m:t>i</m:t>
        </m:r>
        <m:r>
          <m:t>n</m:t>
        </m:r>
        <m:r>
          <m:t>Q</m:t>
        </m:r>
        <m:r>
          <m:t>2</m:t>
        </m:r>
        <m:r>
          <m:rPr>
            <m:sty m:val="p"/>
          </m:rPr>
          <m:t>(</m:t>
        </m:r>
        <m:r>
          <m:t>v</m:t>
        </m:r>
        <m:r>
          <m:t>s</m:t>
        </m:r>
        <m:r>
          <m:rPr>
            <m:sty m:val="p"/>
          </m:rPr>
          <m:t>.</m:t>
        </m:r>
        <m:r>
          <m:t> </m:t>
        </m:r>
      </m:oMath>
      <w:r>
        <w:t xml:space="preserve">400M a year ago), with roughly 50% hitting Construction Industries and 25% each in Power &amp; Energy and Resource Industries. Full-year tariff cost guidance was $2.2-2.4 billion (down from $2.6B previously), following a shift from IEEPA to Section 122 tariffs after the Supreme Court ruling. Watch whether that full-year number moves again — it's a real swing factor for adjusted operating margin, which management still expects to land "near the bottom" of its target range for the year despite the higher sales base.</w:t>
      </w:r>
    </w:p>
    <w:p>
      <w:pPr>
        <w:pStyle w:val="BodyText"/>
      </w:pPr>
      <w:r>
        <w:rPr>
          <w:b/>
          <w:bCs/>
        </w:rPr>
        <w:t xml:space="preserve">3. Resource Industries recovery.</w:t>
      </w:r>
      <w:r>
        <w:t xml:space="preserve"> </w:t>
      </w:r>
      <w:r>
        <w:t xml:space="preserve">After a rough Q1 (margin down to 10%), does mining/heavy construction/quarry &amp; aggregates show the sequential improvement management promised, aided by strong order intake (highest since 2012) and rising copper/gold capex cycles? Also worth noting: elevated commodity and energy prices tied to the ongoing Middle East/Iran conflict cut both ways here — supportive for mining capex economics, but a headwind via cost inflation and regional disruption.</w:t>
      </w:r>
    </w:p>
    <w:p>
      <w:pPr>
        <w:pStyle w:val="BodyText"/>
      </w:pPr>
      <w:r>
        <w:rPr>
          <w:b/>
          <w:bCs/>
        </w:rPr>
        <w:t xml:space="preserve">4. Construction Industries and dealer inventory.</w:t>
      </w:r>
      <w:r>
        <w:t xml:space="preserve"> </w:t>
      </w:r>
      <w:r>
        <w:t xml:space="preserve">Watch for confirmation of the "more typical sequential" dealer inventory build management flagged (vs. the unusually large Q1 build), North America strength (still benefiting from IIJA infrastructure spending and data-center-linked construction), and any softening signals from EAME/Middle East or China, where July's manufacturing PMI unexpectedly contracted to 49.2.</w:t>
      </w:r>
    </w:p>
    <w:p>
      <w:pPr>
        <w:pStyle w:val="BodyText"/>
      </w:pPr>
      <w:r>
        <w:rPr>
          <w:b/>
          <w:bCs/>
        </w:rPr>
        <w:t xml:space="preserve">5. Oil &amp; gas / turbines.</w:t>
      </w:r>
      <w:r>
        <w:t xml:space="preserve"> </w:t>
      </w:r>
      <w:r>
        <w:t xml:space="preserve">A structurally important, less-discussed growth leg — reciprocating engines for gas compression and Solar Turbines' healthy oil &amp; gas backlog. Elevated global energy prices amid the Iran conflict could be a tailwind for compression/turbine demand even as it complicates broader macro conditions.</w:t>
      </w:r>
    </w:p>
    <w:p>
      <w:pPr>
        <w:pStyle w:val="BodyText"/>
      </w:pPr>
      <w:r>
        <w:rPr>
          <w:b/>
          <w:bCs/>
        </w:rPr>
        <w:t xml:space="preserve">6. Capital deployment and buyback pace.</w:t>
      </w:r>
      <w:r>
        <w:t xml:space="preserve"> </w:t>
      </w:r>
      <w:r>
        <w:t xml:space="preserve">Watch for continuation of the aggressive repurchase cadence (the</w:t>
      </w:r>
      <w:r>
        <w:t xml:space="preserve"> </w:t>
      </w:r>
      <m:oMath>
        <m:r>
          <m:t>4.5</m:t>
        </m:r>
        <m:r>
          <m:t>B</m:t>
        </m:r>
        <m:r>
          <m:t>A</m:t>
        </m:r>
        <m:r>
          <m:t>S</m:t>
        </m:r>
        <m:r>
          <m:t>R</m:t>
        </m:r>
        <m:r>
          <m:t>l</m:t>
        </m:r>
        <m:r>
          <m:t>a</m:t>
        </m:r>
        <m:r>
          <m:t>u</m:t>
        </m:r>
        <m:r>
          <m:t>n</m:t>
        </m:r>
        <m:r>
          <m:t>c</m:t>
        </m:r>
        <m:r>
          <m:t>h</m:t>
        </m:r>
        <m:r>
          <m:t>e</m:t>
        </m:r>
        <m:r>
          <m:t>d</m:t>
        </m:r>
        <m:r>
          <m:t>i</m:t>
        </m:r>
        <m:r>
          <m:t>n</m:t>
        </m:r>
        <m:r>
          <m:t>Q</m:t>
        </m:r>
        <m:r>
          <m:t>1</m:t>
        </m:r>
        <m:r>
          <m:t>c</m:t>
        </m:r>
        <m:r>
          <m:t>a</m:t>
        </m:r>
        <m:r>
          <m:t>n</m:t>
        </m:r>
        <m:r>
          <m:t>r</m:t>
        </m:r>
        <m:r>
          <m:t>u</m:t>
        </m:r>
        <m:r>
          <m:t>n</m:t>
        </m:r>
        <m:r>
          <m:t>u</m:t>
        </m:r>
        <m:r>
          <m:t>p</m:t>
        </m:r>
        <m:r>
          <m:t>t</m:t>
        </m:r>
        <m:r>
          <m:t>o</m:t>
        </m:r>
        <m:r>
          <m:t>n</m:t>
        </m:r>
        <m:r>
          <m:t>i</m:t>
        </m:r>
        <m:r>
          <m:t>n</m:t>
        </m:r>
        <m:r>
          <m:t>e</m:t>
        </m:r>
        <m:r>
          <m:t>m</m:t>
        </m:r>
        <m:r>
          <m:t>o</m:t>
        </m:r>
        <m:r>
          <m:t>n</m:t>
        </m:r>
        <m:r>
          <m:t>t</m:t>
        </m:r>
        <m:r>
          <m:t>h</m:t>
        </m:r>
        <m:r>
          <m:t>s</m:t>
        </m:r>
        <m:r>
          <m:rPr>
            <m:sty m:val="p"/>
          </m:rPr>
          <m:t>)</m:t>
        </m:r>
        <m:r>
          <m:rPr>
            <m:sty m:val="p"/>
          </m:rPr>
          <m:t>—</m:t>
        </m:r>
        <m:r>
          <m:t>b</m:t>
        </m:r>
        <m:r>
          <m:t>u</m:t>
        </m:r>
        <m:r>
          <m:t>y</m:t>
        </m:r>
        <m:r>
          <m:t>b</m:t>
        </m:r>
        <m:r>
          <m:t>a</m:t>
        </m:r>
        <m:r>
          <m:t>c</m:t>
        </m:r>
        <m:r>
          <m:t>k</m:t>
        </m:r>
        <m:r>
          <m:t>s</m:t>
        </m:r>
        <m:r>
          <m:t>h</m:t>
        </m:r>
        <m:r>
          <m:t>a</m:t>
        </m:r>
        <m:r>
          <m:t>v</m:t>
        </m:r>
        <m:r>
          <m:t>e</m:t>
        </m:r>
        <m:r>
          <m:t>b</m:t>
        </m:r>
        <m:r>
          <m:t>e</m:t>
        </m:r>
        <m:r>
          <m:t>e</m:t>
        </m:r>
        <m:r>
          <m:t>n</m:t>
        </m:r>
        <m:r>
          <m:t>a</m:t>
        </m:r>
        <m:r>
          <m:t>m</m:t>
        </m:r>
        <m:r>
          <m:t>e</m:t>
        </m:r>
        <m:r>
          <m:t>a</m:t>
        </m:r>
        <m:r>
          <m:t>n</m:t>
        </m:r>
        <m:r>
          <m:t>i</m:t>
        </m:r>
        <m:r>
          <m:t>n</m:t>
        </m:r>
        <m:r>
          <m:t>g</m:t>
        </m:r>
        <m:r>
          <m:t>f</m:t>
        </m:r>
        <m:r>
          <m:t>u</m:t>
        </m:r>
        <m:r>
          <m:t>l</m:t>
        </m:r>
        <m:r>
          <m:t>E</m:t>
        </m:r>
        <m:r>
          <m:t>P</m:t>
        </m:r>
        <m:r>
          <m:t>S</m:t>
        </m:r>
        <m:r>
          <m:t>t</m:t>
        </m:r>
        <m:r>
          <m:t>a</m:t>
        </m:r>
        <m:r>
          <m:t>i</m:t>
        </m:r>
        <m:r>
          <m:t>l</m:t>
        </m:r>
        <m:r>
          <m:t>w</m:t>
        </m:r>
        <m:r>
          <m:t>i</m:t>
        </m:r>
        <m:r>
          <m:t>n</m:t>
        </m:r>
        <m:r>
          <m:t>d</m:t>
        </m:r>
        <m:r>
          <m:rPr>
            <m:sty m:val="p"/>
          </m:rPr>
          <m:t>(</m:t>
        </m:r>
        <m:r>
          <m:t> </m:t>
        </m:r>
      </m:oMath>
      <w:r>
        <w:t xml:space="preserve">0.13/share benefit in Q1 alone from lower share count).</w:t>
      </w:r>
    </w:p>
    <w:p>
      <w:pPr>
        <w:pStyle w:val="BodyText"/>
      </w:pPr>
      <w:r>
        <w:rPr>
          <w:b/>
          <w:bCs/>
        </w:rPr>
        <w:t xml:space="preserve">7. New CFO's first full quarter of commentary.</w:t>
      </w:r>
      <w:r>
        <w:t xml:space="preserve"> </w:t>
      </w:r>
      <w:r>
        <w:t xml:space="preserve">Kyle Epley's tone on capital intensity (MP&amp;E capex guided to average 4-5% of MP&amp;E sales through 2030, up from historical levels) and the path back toward the "31% incremental margin" framework Andrew Bonfield described at Q1 will matter for how the Street models out-year earnings power.</w:t>
      </w:r>
    </w:p>
    <w:p>
      <w:r>
        <w:pict>
          <v:rect style="width:0;height:1.5pt" o:hralign="center" o:hrstd="t" o:hr="t"/>
        </w:pict>
      </w:r>
    </w:p>
    <w:bookmarkEnd w:id="11"/>
    <w:bookmarkStart w:id="12" w:name="valuation-and-positioning-context"/>
    <w:p>
      <w:pPr>
        <w:pStyle w:val="Heading2"/>
      </w:pPr>
      <w:r>
        <w:t xml:space="preserve">Valuation and Positioning Context</w:t>
      </w:r>
    </w:p>
    <w:p>
      <w:pPr>
        <w:pStyle w:val="FirstParagraph"/>
      </w:pPr>
      <w:r>
        <w:t xml:space="preserve">Even after the pullback, CAT is not cheap. Caterpillar trades at a forward 12-month P/E of 28.39x, a premium to its industry's 26.61x, and is notably more expensive than peers Terex, Astec and Komatsu, which trade at 11.53x, 13.25x and 16.79x, respectively. The Street's mean price target sits in the</w:t>
      </w:r>
      <w:r>
        <w:t xml:space="preserve"> </w:t>
      </w:r>
      <m:oMath>
        <m:r>
          <m:t>920</m:t>
        </m:r>
        <m:r>
          <m:rPr>
            <m:sty m:val="p"/>
          </m:rPr>
          <m:t>−</m:t>
        </m:r>
      </m:oMath>
      <w:r>
        <w:t xml:space="preserve">960 range against a current price near $830, implying modest upside if estimates hold — but the dispersion of views (roughly half Buy, the rest mostly Hold, a couple of Sells) reflects a genuine debate: bulls see a multi-year power-generation super-cycle with a record backlog providing unusual visibility; bears see an industrial cyclical trading like an AI growth stock, vulnerable to any crack in the data-center capex narrative or tariff/macro deterioration. Heavy machinery peers have broadly underperformed over the past month (down ~5% on average) while Caterpillar is down 16.2% over the same period, heading into the print with an average analyst price target of $958.83 against a share price of $814.21 — underscoring how much sentiment has cooled even as fundamental estimates have kept rising.</w:t>
      </w:r>
    </w:p>
    <w:p>
      <w:r>
        <w:pict>
          <v:rect style="width:0;height:1.5pt" o:hralign="center" o:hrstd="t" o:hr="t"/>
        </w:pict>
      </w:r>
    </w:p>
    <w:bookmarkEnd w:id="12"/>
    <w:bookmarkStart w:id="13" w:name="macro-backdrop-into-the-print"/>
    <w:p>
      <w:pPr>
        <w:pStyle w:val="Heading2"/>
      </w:pPr>
      <w:r>
        <w:t xml:space="preserve">Macro Backdrop Into the Print</w:t>
      </w:r>
    </w:p>
    <w:p>
      <w:pPr>
        <w:pStyle w:val="FirstParagraph"/>
      </w:pPr>
      <w:r>
        <w:t xml:space="preserve">Several cross-currents form the backdrop for tomorrow's numbers and, more importantly, management's tone on the call:</w:t>
      </w:r>
    </w:p>
    <w:p>
      <w:pPr>
        <w:pStyle w:val="Compact"/>
        <w:numPr>
          <w:ilvl w:val="0"/>
          <w:numId w:val="1002"/>
        </w:numPr>
      </w:pPr>
      <w:r>
        <w:rPr>
          <w:b/>
          <w:bCs/>
        </w:rPr>
        <w:t xml:space="preserve">Geopolitics/oil:</w:t>
      </w:r>
      <w:r>
        <w:t xml:space="preserve"> </w:t>
      </w:r>
      <w:r>
        <w:t xml:space="preserve">The Iran conflict and Strait of Hormuz disruptions have kept energy prices elevated and volatile, a mixed factor for Caterpillar's oil &amp; gas and international construction/mining exposure.</w:t>
      </w:r>
    </w:p>
    <w:p>
      <w:pPr>
        <w:pStyle w:val="Compact"/>
        <w:numPr>
          <w:ilvl w:val="0"/>
          <w:numId w:val="1002"/>
        </w:numPr>
      </w:pPr>
      <w:r>
        <w:rPr>
          <w:b/>
          <w:bCs/>
        </w:rPr>
        <w:t xml:space="preserve">China:</w:t>
      </w:r>
      <w:r>
        <w:t xml:space="preserve"> </w:t>
      </w:r>
      <w:r>
        <w:t xml:space="preserve">July manufacturing PMI slipped into contraction (49.2 vs 50.3 in June), a watch-item for Resource Industries and industrial demand generally.</w:t>
      </w:r>
    </w:p>
    <w:p>
      <w:pPr>
        <w:pStyle w:val="Compact"/>
        <w:numPr>
          <w:ilvl w:val="0"/>
          <w:numId w:val="1002"/>
        </w:numPr>
      </w:pPr>
      <w:r>
        <w:rPr>
          <w:b/>
          <w:bCs/>
        </w:rPr>
        <w:t xml:space="preserve">Fed/rates:</w:t>
      </w:r>
      <w:r>
        <w:t xml:space="preserve"> </w:t>
      </w:r>
      <w:r>
        <w:t xml:space="preserve">The Fed held rates steady at its last meeting despite three dissenting policymakers pushing for a hike — a reminder that financing costs (relevant to Cat Financial and end-customer capex decisions) remain a live variable.</w:t>
      </w:r>
    </w:p>
    <w:p>
      <w:pPr>
        <w:pStyle w:val="Compact"/>
        <w:numPr>
          <w:ilvl w:val="0"/>
          <w:numId w:val="1002"/>
        </w:numPr>
      </w:pPr>
      <w:r>
        <w:rPr>
          <w:b/>
          <w:bCs/>
        </w:rPr>
        <w:t xml:space="preserve">AI capex sentiment:</w:t>
      </w:r>
      <w:r>
        <w:t xml:space="preserve"> </w:t>
      </w:r>
      <w:r>
        <w:t xml:space="preserve">This week's mega-cap earnings (Microsoft's blowout, Amazon's $3 trillion milestone) have been broadly supportive of the AI infrastructure spending thesis, which could help offset some of the Baird-downgrade-driven skepticism specifically aimed at Caterpillar's data-center power exposure — though Nvidia's more muted recent trading is a reminder sentiment can shift fast.</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Caterpillar heads into Q2 earnings with an unusually high bar: consensus calls for ~31-32% EPS growth and mid-to-high-teens revenue growth, built on the back of a record $63 billion backlog and a company that has repeatedly beaten and raised guidance through the current cycle. The fundamental story — power generation for data centers, resilient North American construction, a mining upcycle, and disciplined capital returns — remains intact based on Q1 commentary. The key swing factors for the stock reaction will likely be less about the headline beat/miss (which the company has a strong recent track record on) and more about: (1) any incremental evidence on data-center order durability and regulatory risk to backlog, given the recent Baird downgrade; (2) updated tariff-cost guidance; and (3) signs of margin recovery in Resource Industries. Given how far and fast the stock has run — and then partially unwound — this print is likely to be read as much as a referendum on the AI-power-demand narrative as on Caterpillar's own operational execution.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2026-08-04T00:42:01Z</dcterms:created>
  <dcterms:modified xsi:type="dcterms:W3CDTF">2026-08-04T00:42:01Z</dcterms:modified>
</cp:coreProperties>
</file>

<file path=docProps/custom.xml><?xml version="1.0" encoding="utf-8"?>
<Properties xmlns="http://schemas.openxmlformats.org/officeDocument/2006/custom-properties" xmlns:vt="http://schemas.openxmlformats.org/officeDocument/2006/docPropsVTypes"/>
</file>