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~$6.35 vs. cons $6.20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and revenues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~$19.45B vs. cons $19.20B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&amp; Energy sales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~$8.42B vs. cons $8.30B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Sales and revenues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~12.0% vs. cons 13.2%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profit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~18.2% vs. cons 18.4%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~$2.30B vs. cons $2.30B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-7.2% (FOLLOW-THROUGH)</w:t>
            </w:r>
          </w:p>
        </w:tc>
        <w:tc>
          <w:tcPr/>
          <w:p>
            <w:pPr>
              <w:pStyle w:val="Compact"/>
            </w:pPr>
            <w:r>
              <w:t xml:space="preserve">FY2026 sales growth of ~12.0% vs. consensus 13.2% would imply only ~6% H2 growth after roughly ~19% H1 growth; that out-period deceleration and capacity-investment drag should prompt 2027–2028 estimate cuts despite the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2026-08-04T00:43:49Z</dcterms:created>
  <dcterms:modified xsi:type="dcterms:W3CDTF">2026-08-04T00:43:49Z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