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caterpillar-cat-2q26-earnings-preview"/>
    <w:p>
      <w:pPr>
        <w:pStyle w:val="Heading1"/>
      </w:pPr>
      <w:r>
        <w:t xml:space="preserve">Caterpillar (CAT) 2Q26 Earnings Preview</w:t>
      </w:r>
    </w:p>
    <w:p>
      <w:pPr>
        <w:pStyle w:val="BlockText"/>
      </w:pPr>
      <w:r>
        <w:rPr>
          <w:b/>
          <w:bCs/>
        </w:rPr>
        <w:t xml:space="preserve">Timing note:</w:t>
      </w:r>
      <w:r>
        <w:t xml:space="preserve"> </w:t>
      </w:r>
      <w:r>
        <w:t xml:space="preserve">August 4, 2026 is</w:t>
      </w:r>
      <w:r>
        <w:t xml:space="preserve"> </w:t>
      </w:r>
      <w:r>
        <w:rPr>
          <w:b/>
          <w:bCs/>
        </w:rPr>
        <w:t xml:space="preserve">today</w:t>
      </w:r>
      <w:r>
        <w:t xml:space="preserve">, not tomorrow. Caterpillar is scheduled to release results at</w:t>
      </w:r>
      <w:r>
        <w:t xml:space="preserve"> </w:t>
      </w:r>
      <w:r>
        <w:rPr>
          <w:b/>
          <w:bCs/>
        </w:rPr>
        <w:t xml:space="preserve">6:30 a.m. ET</w:t>
      </w:r>
      <w:r>
        <w:t xml:space="preserve">, followed by its earnings call at</w:t>
      </w:r>
      <w:r>
        <w:t xml:space="preserve"> </w:t>
      </w:r>
      <w:r>
        <w:rPr>
          <w:b/>
          <w:bCs/>
        </w:rPr>
        <w:t xml:space="preserve">8:30 a.m. ET</w:t>
      </w:r>
      <w:r>
        <w:t xml:space="preserve">. This preview assumes the results have not yet been released. (</w:t>
      </w:r>
      <w:hyperlink r:id="rId9">
        <w:r>
          <w:rPr>
            <w:rStyle w:val="Hyperlink"/>
          </w:rPr>
          <w:t xml:space="preserve">investors.caterpillar.com</w:t>
        </w:r>
      </w:hyperlink>
      <w:r>
        <w:t xml:space="preserve">)</w:t>
      </w:r>
    </w:p>
    <w:bookmarkStart w:id="11" w:name="investment-setup"/>
    <w:p>
      <w:pPr>
        <w:pStyle w:val="Heading2"/>
      </w:pPr>
      <w:r>
        <w:t xml:space="preserve">Investment setup</w:t>
      </w:r>
    </w:p>
    <w:p>
      <w:pPr>
        <w:pStyle w:val="FirstParagraph"/>
      </w:pPr>
      <w:r>
        <w:t xml:space="preserve">Caterpillar enters the quarter with unusually high expectations for an industrial company. The investment case has broadened from a traditional construction-and-mining cycle to include a major AI and data-center power theme, supported by demand for backup and behind-the-meter prime power.</w:t>
      </w:r>
    </w:p>
    <w:p>
      <w:pPr>
        <w:pStyle w:val="BodyText"/>
      </w:pPr>
      <w:r>
        <w:t xml:space="preserve">The central question is no longer simply whether CAT can beat quarterly consensus. Investors need evidence that:</w:t>
      </w:r>
    </w:p>
    <w:p>
      <w:pPr>
        <w:pStyle w:val="Compact"/>
        <w:numPr>
          <w:ilvl w:val="0"/>
          <w:numId w:val="1001"/>
        </w:numPr>
      </w:pPr>
      <w:r>
        <w:rPr>
          <w:b/>
          <w:bCs/>
        </w:rPr>
        <w:t xml:space="preserve">Power &amp; Energy growth and backlog are durable;</w:t>
      </w:r>
    </w:p>
    <w:p>
      <w:pPr>
        <w:pStyle w:val="Compact"/>
        <w:numPr>
          <w:ilvl w:val="0"/>
          <w:numId w:val="1001"/>
        </w:numPr>
      </w:pPr>
      <w:r>
        <w:rPr>
          <w:b/>
          <w:bCs/>
        </w:rPr>
        <w:t xml:space="preserve">Construction and mining provide enough breadth beyond data centers;</w:t>
      </w:r>
    </w:p>
    <w:p>
      <w:pPr>
        <w:pStyle w:val="Compact"/>
        <w:numPr>
          <w:ilvl w:val="0"/>
          <w:numId w:val="1001"/>
        </w:numPr>
      </w:pPr>
      <w:r>
        <w:rPr>
          <w:b/>
          <w:bCs/>
        </w:rPr>
        <w:t xml:space="preserve">Pricing and operating leverage can absorb tariffs and growth investments; and</w:t>
      </w:r>
    </w:p>
    <w:p>
      <w:pPr>
        <w:pStyle w:val="Compact"/>
        <w:numPr>
          <w:ilvl w:val="0"/>
          <w:numId w:val="1001"/>
        </w:numPr>
      </w:pPr>
      <w:r>
        <w:rPr>
          <w:b/>
          <w:bCs/>
        </w:rPr>
        <w:t xml:space="preserve">The long-term earnings opportunity justifies a premium valuation.</w:t>
      </w:r>
    </w:p>
    <w:p>
      <w:pPr>
        <w:pStyle w:val="FirstParagraph"/>
      </w:pPr>
      <w:r>
        <w:t xml:space="preserve">CAT closed August 3 near</w:t>
      </w:r>
      <w:r>
        <w:t xml:space="preserve"> </w:t>
      </w:r>
      <w:r>
        <w:rPr>
          <w:b/>
          <w:bCs/>
        </w:rPr>
        <w:t xml:space="preserve">$830</w:t>
      </w:r>
      <w:r>
        <w:t xml:space="preserve">, carrying a trailing P/E above 40x. Using published 2026 EPS estimates around $24.87, the stock trades near</w:t>
      </w:r>
      <w:r>
        <w:t xml:space="preserve"> </w:t>
      </w:r>
      <w:r>
        <w:rPr>
          <w:b/>
          <w:bCs/>
        </w:rPr>
        <w:t xml:space="preserve">33x current-year earnings</w:t>
      </w:r>
      <w:r>
        <w:t xml:space="preserve">; it is closer to 27x estimates for 2027. Although the shares have corrected more than 20% from their June high, the valuation still leaves limited room for an ordinary beat accompanied by unchanged guidance. (</w:t>
      </w:r>
      <w:hyperlink r:id="rId10">
        <w:r>
          <w:rPr>
            <w:rStyle w:val="Hyperlink"/>
          </w:rPr>
          <w:t xml:space="preserve">marketbeat.com</w:t>
        </w:r>
      </w:hyperlink>
      <w:r>
        <w:t xml:space="preserve">)</w:t>
      </w:r>
    </w:p>
    <w:p>
      <w:r>
        <w:pict>
          <v:rect style="width:0;height:1.5pt" o:hralign="center" o:hrstd="t" o:hr="t"/>
        </w:pict>
      </w:r>
    </w:p>
    <w:bookmarkEnd w:id="11"/>
    <w:bookmarkStart w:id="15" w:name="headline-expectations"/>
    <w:p>
      <w:pPr>
        <w:pStyle w:val="Heading2"/>
      </w:pPr>
      <w:r>
        <w:t xml:space="preserve">Headline expectations</w:t>
      </w:r>
    </w:p>
    <w:p>
      <w:pPr>
        <w:pStyle w:val="FirstParagraph"/>
      </w:pPr>
      <w:r>
        <w:t xml:space="preserve">Consensus varies somewhat by provider: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Approximate consensus</w:t>
            </w:r>
          </w:p>
        </w:tc>
        <w:tc>
          <w:tcPr/>
          <w:p>
            <w:pPr>
              <w:pStyle w:val="Compact"/>
              <w:jc w:val="right"/>
            </w:pPr>
            <w:r>
              <w:t xml:space="preserve">2Q25 actual</w:t>
            </w:r>
          </w:p>
        </w:tc>
        <w:tc>
          <w:tcPr/>
          <w:p>
            <w:pPr>
              <w:pStyle w:val="Compact"/>
              <w:jc w:val="right"/>
            </w:pPr>
            <w:r>
              <w:t xml:space="preserve">Implied growth</w:t>
            </w:r>
          </w:p>
        </w:tc>
      </w:tr>
      <w:tr>
        <w:tc>
          <w:tcPr/>
          <w:p>
            <w:pPr>
              <w:pStyle w:val="Compact"/>
            </w:pPr>
            <w:r>
              <w:t xml:space="preserve">Revenue</w:t>
            </w:r>
          </w:p>
        </w:tc>
        <w:tc>
          <w:tcPr/>
          <w:p>
            <w:pPr>
              <w:pStyle w:val="Compact"/>
              <w:jc w:val="right"/>
            </w:pPr>
            <m:oMath>
              <m:r>
                <m:t>19.1</m:t>
              </m:r>
              <m:r>
                <m:t>B</m:t>
              </m:r>
              <m:r>
                <m:rPr>
                  <m:sty m:val="p"/>
                </m:rPr>
                <m:t>–</m:t>
              </m:r>
            </m:oMath>
            <w:r>
              <w:rPr>
                <w:b/>
                <w:bCs/>
              </w:rPr>
              <w:t xml:space="preserve">19.3B</w:t>
            </w:r>
          </w:p>
        </w:tc>
        <w:tc>
          <w:tcPr/>
          <w:p>
            <w:pPr>
              <w:pStyle w:val="Compact"/>
              <w:jc w:val="right"/>
            </w:pPr>
            <w:r>
              <w:t xml:space="preserve">$16.57B</w:t>
            </w:r>
          </w:p>
        </w:tc>
        <w:tc>
          <w:tcPr/>
          <w:p>
            <w:pPr>
              <w:pStyle w:val="Compact"/>
              <w:jc w:val="right"/>
            </w:pPr>
            <w:r>
              <w:t xml:space="preserve">Approximately 15%–17%</w:t>
            </w:r>
          </w:p>
        </w:tc>
      </w:tr>
      <w:tr>
        <w:tc>
          <w:tcPr/>
          <w:p>
            <w:pPr>
              <w:pStyle w:val="Compact"/>
            </w:pPr>
            <w:r>
              <w:t xml:space="preserve">Adjusted EPS</w:t>
            </w:r>
          </w:p>
        </w:tc>
        <w:tc>
          <w:tcPr/>
          <w:p>
            <w:pPr>
              <w:pStyle w:val="Compact"/>
              <w:jc w:val="right"/>
            </w:pPr>
            <m:oMath>
              <m:r>
                <m:t>6.17</m:t>
              </m:r>
              <m:r>
                <m:rPr>
                  <m:sty m:val="p"/>
                </m:rPr>
                <m:t>–</m:t>
              </m:r>
            </m:oMath>
            <w:r>
              <w:rPr>
                <w:b/>
                <w:bCs/>
              </w:rPr>
              <w:t xml:space="preserve">6.25</w:t>
            </w:r>
          </w:p>
        </w:tc>
        <w:tc>
          <w:tcPr/>
          <w:p>
            <w:pPr>
              <w:pStyle w:val="Compact"/>
              <w:jc w:val="right"/>
            </w:pPr>
            <w:r>
              <w:t xml:space="preserve">$4.72</w:t>
            </w:r>
          </w:p>
        </w:tc>
        <w:tc>
          <w:tcPr/>
          <w:p>
            <w:pPr>
              <w:pStyle w:val="Compact"/>
              <w:jc w:val="right"/>
            </w:pPr>
            <w:r>
              <w:t xml:space="preserve">Approximately 31%–32%</w:t>
            </w:r>
          </w:p>
        </w:tc>
      </w:tr>
      <w:tr>
        <w:tc>
          <w:tcPr/>
          <w:p>
            <w:pPr>
              <w:pStyle w:val="Compact"/>
            </w:pPr>
            <w:r>
              <w:t xml:space="preserve">Adjusted operating margin</w:t>
            </w:r>
          </w:p>
        </w:tc>
        <w:tc>
          <w:tcPr/>
          <w:p>
            <w:pPr>
              <w:pStyle w:val="Compact"/>
              <w:jc w:val="right"/>
            </w:pPr>
            <w:r>
              <w:t xml:space="preserve">No uniform public consensus</w:t>
            </w:r>
          </w:p>
        </w:tc>
        <w:tc>
          <w:tcPr/>
          <w:p>
            <w:pPr>
              <w:pStyle w:val="Compact"/>
              <w:jc w:val="right"/>
            </w:pPr>
            <w:r>
              <w:t xml:space="preserve">17.6%</w:t>
            </w:r>
          </w:p>
        </w:tc>
        <w:tc>
          <w:tcPr/>
          <w:p>
            <w:pPr>
              <w:pStyle w:val="Compact"/>
              <w:jc w:val="right"/>
            </w:pPr>
            <w:r>
              <w:t xml:space="preserve">Management expects improvement</w:t>
            </w:r>
          </w:p>
        </w:tc>
      </w:tr>
    </w:tbl>
    <w:p>
      <w:pPr>
        <w:pStyle w:val="BodyText"/>
      </w:pPr>
      <w:r>
        <w:t xml:space="preserve">Published estimates cluster around $6.20 of adjusted EPS and</w:t>
      </w:r>
      <w:r>
        <w:t xml:space="preserve"> </w:t>
      </w:r>
      <m:oMath>
        <m:r>
          <m:t>19.2</m:t>
        </m:r>
        <m:r>
          <m:t>b</m:t>
        </m:r>
        <m:r>
          <m:t>i</m:t>
        </m:r>
        <m:r>
          <m:t>l</m:t>
        </m:r>
        <m:r>
          <m:t>l</m:t>
        </m:r>
        <m:r>
          <m:t>i</m:t>
        </m:r>
        <m:r>
          <m:t>o</m:t>
        </m:r>
        <m:r>
          <m:t>n</m:t>
        </m:r>
        <m:r>
          <m:t>o</m:t>
        </m:r>
        <m:r>
          <m:t>f</m:t>
        </m:r>
        <m:r>
          <m:t>r</m:t>
        </m:r>
        <m:r>
          <m:t>e</m:t>
        </m:r>
        <m:r>
          <m:t>v</m:t>
        </m:r>
        <m:r>
          <m:t>e</m:t>
        </m:r>
        <m:r>
          <m:t>n</m:t>
        </m:r>
        <m:r>
          <m:t>u</m:t>
        </m:r>
        <m:r>
          <m:t>e</m:t>
        </m:r>
        <m:r>
          <m:rPr>
            <m:sty m:val="p"/>
          </m:rPr>
          <m:t>.</m:t>
        </m:r>
        <m:r>
          <m:t>C</m:t>
        </m:r>
        <m:r>
          <m:t>a</m:t>
        </m:r>
        <m:r>
          <m:t>t</m:t>
        </m:r>
        <m:r>
          <m:t>e</m:t>
        </m:r>
        <m:r>
          <m:t>r</m:t>
        </m:r>
        <m:r>
          <m:t>p</m:t>
        </m:r>
        <m:r>
          <m:t>i</m:t>
        </m:r>
        <m:r>
          <m:t>l</m:t>
        </m:r>
        <m:r>
          <m:t>l</m:t>
        </m:r>
        <m:r>
          <m:t>a</m:t>
        </m:r>
        <m:r>
          <m:t>r</m:t>
        </m:r>
        <m:r>
          <m:t>i</m:t>
        </m:r>
        <m:r>
          <m:t>t</m:t>
        </m:r>
        <m:r>
          <m:t>s</m:t>
        </m:r>
        <m:r>
          <m:t>e</m:t>
        </m:r>
        <m:r>
          <m:t>l</m:t>
        </m:r>
        <m:r>
          <m:t>f</m:t>
        </m:r>
        <m:r>
          <m:t>d</m:t>
        </m:r>
        <m:r>
          <m:t>i</m:t>
        </m:r>
        <m:r>
          <m:t>d</m:t>
        </m:r>
        <m:r>
          <m:t>n</m:t>
        </m:r>
        <m:r>
          <m:t>o</m:t>
        </m:r>
        <m:r>
          <m:t>t</m:t>
        </m:r>
        <m:r>
          <m:t>g</m:t>
        </m:r>
        <m:r>
          <m:t>i</m:t>
        </m:r>
        <m:r>
          <m:t>v</m:t>
        </m:r>
        <m:r>
          <m:t>e</m:t>
        </m:r>
        <m:r>
          <m:t>p</m:t>
        </m:r>
        <m:r>
          <m:t>r</m:t>
        </m:r>
        <m:r>
          <m:t>e</m:t>
        </m:r>
        <m:r>
          <m:t>c</m:t>
        </m:r>
        <m:r>
          <m:t>i</m:t>
        </m:r>
        <m:r>
          <m:t>s</m:t>
        </m:r>
        <m:r>
          <m:t>e</m:t>
        </m:r>
        <m:r>
          <m:t>q</m:t>
        </m:r>
        <m:r>
          <m:t>u</m:t>
        </m:r>
        <m:r>
          <m:t>a</m:t>
        </m:r>
        <m:r>
          <m:t>r</m:t>
        </m:r>
        <m:r>
          <m:t>t</m:t>
        </m:r>
        <m:r>
          <m:t>e</m:t>
        </m:r>
        <m:r>
          <m:t>r</m:t>
        </m:r>
        <m:r>
          <m:t>l</m:t>
        </m:r>
        <m:r>
          <m:t>y</m:t>
        </m:r>
        <m:r>
          <m:t>r</m:t>
        </m:r>
        <m:r>
          <m:t>e</m:t>
        </m:r>
        <m:r>
          <m:t>v</m:t>
        </m:r>
        <m:r>
          <m:t>e</m:t>
        </m:r>
        <m:r>
          <m:t>n</m:t>
        </m:r>
        <m:r>
          <m:t>u</m:t>
        </m:r>
        <m:r>
          <m:t>e</m:t>
        </m:r>
        <m:r>
          <m:t>o</m:t>
        </m:r>
        <m:r>
          <m:t>r</m:t>
        </m:r>
        <m:r>
          <m:t>E</m:t>
        </m:r>
        <m:r>
          <m:t>P</m:t>
        </m:r>
        <m:r>
          <m:t>S</m:t>
        </m:r>
        <m:r>
          <m:t>g</m:t>
        </m:r>
        <m:r>
          <m:t>u</m:t>
        </m:r>
        <m:r>
          <m:t>i</m:t>
        </m:r>
        <m:r>
          <m:t>d</m:t>
        </m:r>
        <m:r>
          <m:t>a</m:t>
        </m:r>
        <m:r>
          <m:t>n</m:t>
        </m:r>
        <m:r>
          <m:t>c</m:t>
        </m:r>
        <m:r>
          <m:t>e</m:t>
        </m:r>
        <m:r>
          <m:rPr>
            <m:sty m:val="p"/>
          </m:rPr>
          <m:t>,</m:t>
        </m:r>
        <m:r>
          <m:t>b</m:t>
        </m:r>
        <m:r>
          <m:t>u</m:t>
        </m:r>
        <m:r>
          <m:t>t</m:t>
        </m:r>
        <m:r>
          <m:t>f</m:t>
        </m:r>
        <m:r>
          <m:t>o</m:t>
        </m:r>
        <m:r>
          <m:t>r</m:t>
        </m:r>
        <m:r>
          <m:t>e</m:t>
        </m:r>
        <m:r>
          <m:t>c</m:t>
        </m:r>
        <m:r>
          <m:t>a</m:t>
        </m:r>
        <m:r>
          <m:t>s</m:t>
        </m:r>
        <m:r>
          <m:t>t</m:t>
        </m:r>
        <m:r>
          <m:rPr>
            <m:sty m:val="p"/>
          </m:rPr>
          <m:t>*</m:t>
        </m:r>
        <m:r>
          <m:rPr>
            <m:sty m:val="p"/>
          </m:rPr>
          <m:t>*</m:t>
        </m:r>
        <m:r>
          <m:t>s</m:t>
        </m:r>
        <m:r>
          <m:t>t</m:t>
        </m:r>
        <m:r>
          <m:t>r</m:t>
        </m:r>
        <m:r>
          <m:t>o</m:t>
        </m:r>
        <m:r>
          <m:t>n</m:t>
        </m:r>
        <m:r>
          <m:t>g</m:t>
        </m:r>
        <m:r>
          <m:t>y</m:t>
        </m:r>
        <m:r>
          <m:t>e</m:t>
        </m:r>
        <m:r>
          <m:t>a</m:t>
        </m:r>
        <m:r>
          <m:t>r</m:t>
        </m:r>
        <m:r>
          <m:rPr>
            <m:sty m:val="p"/>
          </m:rPr>
          <m:t>−</m:t>
        </m:r>
        <m:r>
          <m:t>o</m:t>
        </m:r>
        <m:r>
          <m:t>v</m:t>
        </m:r>
        <m:r>
          <m:t>e</m:t>
        </m:r>
        <m:r>
          <m:t>r</m:t>
        </m:r>
        <m:r>
          <m:rPr>
            <m:sty m:val="p"/>
          </m:rPr>
          <m:t>−</m:t>
        </m:r>
        <m:r>
          <m:t>y</m:t>
        </m:r>
        <m:r>
          <m:t>e</m:t>
        </m:r>
        <m:r>
          <m:t>a</m:t>
        </m:r>
        <m:r>
          <m:t>r</m:t>
        </m:r>
        <m:r>
          <m:t>s</m:t>
        </m:r>
        <m:r>
          <m:t>a</m:t>
        </m:r>
        <m:r>
          <m:t>l</m:t>
        </m:r>
        <m:r>
          <m:t>e</m:t>
        </m:r>
        <m:r>
          <m:t>s</m:t>
        </m:r>
        <m:r>
          <m:t>g</m:t>
        </m:r>
        <m:r>
          <m:t>r</m:t>
        </m:r>
        <m:r>
          <m:t>o</m:t>
        </m:r>
        <m:r>
          <m:t>w</m:t>
        </m:r>
        <m:r>
          <m:t>t</m:t>
        </m:r>
        <m:r>
          <m:t>h</m:t>
        </m:r>
        <m:r>
          <m:t>i</m:t>
        </m:r>
        <m:r>
          <m:t>n</m:t>
        </m:r>
        <m:r>
          <m:t>a</m:t>
        </m:r>
        <m:r>
          <m:t>l</m:t>
        </m:r>
        <m:r>
          <m:t>l</m:t>
        </m:r>
        <m:r>
          <m:t>t</m:t>
        </m:r>
        <m:r>
          <m:t>h</m:t>
        </m:r>
        <m:r>
          <m:t>r</m:t>
        </m:r>
        <m:r>
          <m:t>e</m:t>
        </m:r>
        <m:r>
          <m:t>e</m:t>
        </m:r>
        <m:r>
          <m:t>p</m:t>
        </m:r>
        <m:r>
          <m:t>r</m:t>
        </m:r>
        <m:r>
          <m:t>i</m:t>
        </m:r>
        <m:r>
          <m:t>m</m:t>
        </m:r>
        <m:r>
          <m:t>a</m:t>
        </m:r>
        <m:r>
          <m:t>r</m:t>
        </m:r>
        <m:r>
          <m:t>y</m:t>
        </m:r>
        <m:r>
          <m:t>s</m:t>
        </m:r>
        <m:r>
          <m:t>e</m:t>
        </m:r>
        <m:r>
          <m:t>g</m:t>
        </m:r>
        <m:r>
          <m:t>m</m:t>
        </m:r>
        <m:r>
          <m:t>e</m:t>
        </m:r>
        <m:r>
          <m:t>n</m:t>
        </m:r>
        <m:r>
          <m:t>t</m:t>
        </m:r>
        <m:r>
          <m:t>s</m:t>
        </m:r>
        <m:r>
          <m:rPr>
            <m:sty m:val="p"/>
          </m:rPr>
          <m:t>*</m:t>
        </m:r>
        <m:r>
          <m:rPr>
            <m:sty m:val="p"/>
          </m:rPr>
          <m:t>*</m:t>
        </m:r>
        <m:r>
          <m:rPr>
            <m:sty m:val="p"/>
          </m:rPr>
          <m:t>,</m:t>
        </m:r>
        <m:r>
          <m:t>a</m:t>
        </m:r>
        <m:r>
          <m:t>h</m:t>
        </m:r>
        <m:r>
          <m:t>i</m:t>
        </m:r>
        <m:r>
          <m:t>g</m:t>
        </m:r>
        <m:r>
          <m:t>h</m:t>
        </m:r>
        <m:r>
          <m:t>e</m:t>
        </m:r>
        <m:r>
          <m:t>r</m:t>
        </m:r>
        <m:r>
          <m:t>e</m:t>
        </m:r>
        <m:r>
          <m:t>n</m:t>
        </m:r>
        <m:r>
          <m:t>t</m:t>
        </m:r>
        <m:r>
          <m:t>e</m:t>
        </m:r>
        <m:r>
          <m:t>r</m:t>
        </m:r>
        <m:r>
          <m:t>p</m:t>
        </m:r>
        <m:r>
          <m:t>r</m:t>
        </m:r>
        <m:r>
          <m:t>i</m:t>
        </m:r>
        <m:r>
          <m:t>s</m:t>
        </m:r>
        <m:r>
          <m:t>e</m:t>
        </m:r>
        <m:r>
          <m:t>m</m:t>
        </m:r>
        <m:r>
          <m:t>a</m:t>
        </m:r>
        <m:r>
          <m:t>r</m:t>
        </m:r>
        <m:r>
          <m:t>g</m:t>
        </m:r>
        <m:r>
          <m:t>i</m:t>
        </m:r>
        <m:r>
          <m:t>n</m:t>
        </m:r>
        <m:r>
          <m:t>d</m:t>
        </m:r>
        <m:r>
          <m:t>e</m:t>
        </m:r>
        <m:r>
          <m:t>s</m:t>
        </m:r>
        <m:r>
          <m:t>p</m:t>
        </m:r>
        <m:r>
          <m:t>i</m:t>
        </m:r>
        <m:r>
          <m:t>t</m:t>
        </m:r>
        <m:r>
          <m:t>e</m:t>
        </m:r>
        <m:r>
          <m:t>t</m:t>
        </m:r>
        <m:r>
          <m:t>a</m:t>
        </m:r>
        <m:r>
          <m:t>r</m:t>
        </m:r>
        <m:r>
          <m:t>i</m:t>
        </m:r>
        <m:r>
          <m:t>f</m:t>
        </m:r>
        <m:r>
          <m:t>f</m:t>
        </m:r>
        <m:r>
          <m:t>s</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t xml:space="preserve">700 million of second-quarter tariff expense**. (</w:t>
      </w:r>
      <w:hyperlink r:id="rId12">
        <w:r>
          <w:rPr>
            <w:rStyle w:val="Hyperlink"/>
          </w:rPr>
          <w:t xml:space="preserve">kiplinger.com</w:t>
        </w:r>
      </w:hyperlink>
      <w:r>
        <w:t xml:space="preserve">)</w:t>
      </w:r>
    </w:p>
    <w:bookmarkStart w:id="14" w:name="useful-management-benchmarks"/>
    <w:p>
      <w:pPr>
        <w:pStyle w:val="Heading3"/>
      </w:pPr>
      <w:r>
        <w:t xml:space="preserve">Useful management benchmarks</w:t>
      </w:r>
    </w:p>
    <w:p>
      <w:pPr>
        <w:pStyle w:val="FirstParagraph"/>
      </w:pPr>
      <w:r>
        <w:t xml:space="preserve">Coming out of the first quarter, management expected:</w:t>
      </w:r>
    </w:p>
    <w:p>
      <w:pPr>
        <w:pStyle w:val="Compact"/>
        <w:numPr>
          <w:ilvl w:val="0"/>
          <w:numId w:val="1002"/>
        </w:numPr>
      </w:pPr>
      <w:r>
        <w:t xml:space="preserve">Higher sales volume and favorable pricing across all three primary segments.</w:t>
      </w:r>
    </w:p>
    <w:p>
      <w:pPr>
        <w:pStyle w:val="Compact"/>
        <w:numPr>
          <w:ilvl w:val="0"/>
          <w:numId w:val="1002"/>
        </w:numPr>
      </w:pPr>
      <w:r>
        <w:t xml:space="preserve">A minimal sequential change in Construction Industries dealer inventory.</w:t>
      </w:r>
    </w:p>
    <w:p>
      <w:pPr>
        <w:pStyle w:val="Compact"/>
        <w:numPr>
          <w:ilvl w:val="0"/>
          <w:numId w:val="1002"/>
        </w:numPr>
      </w:pPr>
      <w:r>
        <w:t xml:space="preserve">Higher enterprise margins than in 2Q25.</w:t>
      </w:r>
    </w:p>
    <w:p>
      <w:pPr>
        <w:pStyle w:val="Compact"/>
        <w:numPr>
          <w:ilvl w:val="0"/>
          <w:numId w:val="1002"/>
        </w:numPr>
      </w:pPr>
      <w:r>
        <w:t xml:space="preserve">Roughly 50% of the $700 million tariff bill in Construction Industries, with about 25% each in Power &amp; Energy and Resource Industries.</w:t>
      </w:r>
    </w:p>
    <w:p>
      <w:pPr>
        <w:pStyle w:val="Compact"/>
        <w:numPr>
          <w:ilvl w:val="0"/>
          <w:numId w:val="1002"/>
        </w:numPr>
      </w:pPr>
      <w:r>
        <w:t xml:space="preserve">Full-year sales growth in the</w:t>
      </w:r>
      <w:r>
        <w:t xml:space="preserve"> </w:t>
      </w:r>
      <w:r>
        <w:rPr>
          <w:b/>
          <w:bCs/>
        </w:rPr>
        <w:t xml:space="preserve">low double digits</w:t>
      </w:r>
      <w:r>
        <w:t xml:space="preserve">.</w:t>
      </w:r>
    </w:p>
    <w:p>
      <w:pPr>
        <w:pStyle w:val="Compact"/>
        <w:numPr>
          <w:ilvl w:val="0"/>
          <w:numId w:val="1002"/>
        </w:numPr>
      </w:pPr>
      <w:r>
        <w:t xml:space="preserve">Full-year tariff costs of</w:t>
      </w:r>
      <w:r>
        <w:t xml:space="preserve"> </w:t>
      </w:r>
      <m:oMath>
        <m:r>
          <m:t>2.2</m:t>
        </m:r>
        <m:r>
          <m:t>b</m:t>
        </m:r>
        <m:r>
          <m:t>i</m:t>
        </m:r>
        <m:r>
          <m:t>l</m:t>
        </m:r>
        <m:r>
          <m:t>l</m:t>
        </m:r>
        <m:r>
          <m:t>i</m:t>
        </m:r>
        <m:r>
          <m:t>o</m:t>
        </m:r>
        <m:r>
          <m:t>n</m:t>
        </m:r>
        <m:r>
          <m:rPr>
            <m:sty m:val="p"/>
          </m:rPr>
          <m:t>–</m:t>
        </m:r>
      </m:oMath>
      <w:r>
        <w:rPr>
          <w:b/>
          <w:bCs/>
        </w:rPr>
        <w:t xml:space="preserve">2.4 billion</w:t>
      </w:r>
      <w:r>
        <w:t xml:space="preserve">.</w:t>
      </w:r>
    </w:p>
    <w:p>
      <w:pPr>
        <w:pStyle w:val="Compact"/>
        <w:numPr>
          <w:ilvl w:val="0"/>
          <w:numId w:val="1002"/>
        </w:numPr>
      </w:pPr>
      <w:r>
        <w:t xml:space="preserve">Approximately $3.5 billion of 2026 capital spending. (</w:t>
      </w:r>
      <w:hyperlink r:id="rId13">
        <w:r>
          <w:rPr>
            <w:rStyle w:val="Hyperlink"/>
          </w:rPr>
          <w:t xml:space="preserve">sec.gov</w:t>
        </w:r>
      </w:hyperlink>
      <w:r>
        <w:t xml:space="preserve">)</w:t>
      </w:r>
    </w:p>
    <w:p>
      <w:r>
        <w:pict>
          <v:rect style="width:0;height:1.5pt" o:hralign="center" o:hrstd="t" o:hr="t"/>
        </w:pict>
      </w:r>
    </w:p>
    <w:bookmarkEnd w:id="14"/>
    <w:bookmarkEnd w:id="15"/>
    <w:bookmarkStart w:id="20" w:name="X86924d31aee9d4038818d1491e6e8739645ea9e"/>
    <w:p>
      <w:pPr>
        <w:pStyle w:val="Heading2"/>
      </w:pPr>
      <w:r>
        <w:t xml:space="preserve">1. Power &amp; Energy remains the most important segment</w:t>
      </w:r>
    </w:p>
    <w:p>
      <w:pPr>
        <w:pStyle w:val="FirstParagraph"/>
      </w:pPr>
      <w:r>
        <w:t xml:space="preserve">Power &amp; Energy is now the primary driver of CAT’s multiple and long-term growth narrative.</w:t>
      </w:r>
    </w:p>
    <w:p>
      <w:pPr>
        <w:pStyle w:val="BodyText"/>
      </w:pPr>
      <w:r>
        <w:t xml:space="preserve">In the first quarter:</w:t>
      </w:r>
    </w:p>
    <w:p>
      <w:pPr>
        <w:pStyle w:val="Compact"/>
        <w:numPr>
          <w:ilvl w:val="0"/>
          <w:numId w:val="1003"/>
        </w:numPr>
      </w:pPr>
      <w:r>
        <w:t xml:space="preserve">Segment sales rose</w:t>
      </w:r>
      <w:r>
        <w:t xml:space="preserve"> </w:t>
      </w:r>
      <w:r>
        <w:rPr>
          <w:b/>
          <w:bCs/>
        </w:rPr>
        <w:t xml:space="preserve">22% to $7.03 billion</w:t>
      </w:r>
      <w:r>
        <w:t xml:space="preserve">.</w:t>
      </w:r>
    </w:p>
    <w:p>
      <w:pPr>
        <w:pStyle w:val="Compact"/>
        <w:numPr>
          <w:ilvl w:val="0"/>
          <w:numId w:val="1003"/>
        </w:numPr>
      </w:pPr>
      <w:r>
        <w:t xml:space="preserve">Power Generation external sales increased</w:t>
      </w:r>
      <w:r>
        <w:t xml:space="preserve"> </w:t>
      </w:r>
      <w:r>
        <w:rPr>
          <w:b/>
          <w:bCs/>
        </w:rPr>
        <w:t xml:space="preserve">41% to $2.82 billion</w:t>
      </w:r>
      <w:r>
        <w:t xml:space="preserve">.</w:t>
      </w:r>
    </w:p>
    <w:p>
      <w:pPr>
        <w:pStyle w:val="Compact"/>
        <w:numPr>
          <w:ilvl w:val="0"/>
          <w:numId w:val="1003"/>
        </w:numPr>
      </w:pPr>
      <w:r>
        <w:t xml:space="preserve">Segment margin was</w:t>
      </w:r>
      <w:r>
        <w:t xml:space="preserve"> </w:t>
      </w:r>
      <w:r>
        <w:rPr>
          <w:b/>
          <w:bCs/>
        </w:rPr>
        <w:t xml:space="preserve">20.6%</w:t>
      </w:r>
      <w:r>
        <w:t xml:space="preserve">, down from 22.3%, largely because of tariffs and capacity-expansion costs.</w:t>
      </w:r>
    </w:p>
    <w:p>
      <w:pPr>
        <w:pStyle w:val="Compact"/>
        <w:numPr>
          <w:ilvl w:val="0"/>
          <w:numId w:val="1003"/>
        </w:numPr>
      </w:pPr>
      <w:r>
        <w:t xml:space="preserve">Caterpillar finished March with a firm backlog of approximately</w:t>
      </w:r>
      <w:r>
        <w:t xml:space="preserve"> </w:t>
      </w:r>
      <w:r>
        <w:rPr>
          <w:b/>
          <w:bCs/>
        </w:rPr>
        <w:t xml:space="preserve">$62.7 billion</w:t>
      </w:r>
      <w:r>
        <w:t xml:space="preserve">, up $11.5 billion sequentially; $24.8 billion was scheduled beyond the following 12 months. Caterpillar said the largest backlog increase was in Power &amp; Energy, particularly large reciprocating engines and turbines. (</w:t>
      </w:r>
      <w:hyperlink r:id="rId13">
        <w:r>
          <w:rPr>
            <w:rStyle w:val="Hyperlink"/>
          </w:rPr>
          <w:t xml:space="preserve">sec.gov</w:t>
        </w:r>
      </w:hyperlink>
      <w:r>
        <w:t xml:space="preserve">)</w:t>
      </w:r>
    </w:p>
    <w:bookmarkStart w:id="17" w:name="the-relevant-2q25-comparison"/>
    <w:p>
      <w:pPr>
        <w:pStyle w:val="Heading3"/>
      </w:pPr>
      <w:r>
        <w:t xml:space="preserve">The relevant 2Q25 comparison</w:t>
      </w:r>
    </w:p>
    <w:p>
      <w:pPr>
        <w:pStyle w:val="FirstParagraph"/>
      </w:pPr>
      <w:r>
        <w:t xml:space="preserve">Following CAT’s segment realignment, the recast 2Q25 Power &amp; Energy baseline is:</w:t>
      </w:r>
    </w:p>
    <w:p>
      <w:pPr>
        <w:pStyle w:val="Compact"/>
        <w:numPr>
          <w:ilvl w:val="0"/>
          <w:numId w:val="1004"/>
        </w:numPr>
      </w:pPr>
      <w:r>
        <w:rPr>
          <w:b/>
          <w:bCs/>
        </w:rPr>
        <w:t xml:space="preserve">Sales:</w:t>
      </w:r>
      <w:r>
        <w:t xml:space="preserve"> </w:t>
      </w:r>
      <w:r>
        <w:t xml:space="preserve">$7.04 billion</w:t>
      </w:r>
    </w:p>
    <w:p>
      <w:pPr>
        <w:pStyle w:val="Compact"/>
        <w:numPr>
          <w:ilvl w:val="0"/>
          <w:numId w:val="1004"/>
        </w:numPr>
      </w:pPr>
      <w:r>
        <w:rPr>
          <w:b/>
          <w:bCs/>
        </w:rPr>
        <w:t xml:space="preserve">Segment profit:</w:t>
      </w:r>
      <w:r>
        <w:t xml:space="preserve"> </w:t>
      </w:r>
      <w:r>
        <w:t xml:space="preserve">$1.55 billion</w:t>
      </w:r>
    </w:p>
    <w:p>
      <w:pPr>
        <w:pStyle w:val="Compact"/>
        <w:numPr>
          <w:ilvl w:val="0"/>
          <w:numId w:val="1004"/>
        </w:numPr>
      </w:pPr>
      <w:r>
        <w:rPr>
          <w:b/>
          <w:bCs/>
        </w:rPr>
        <w:t xml:space="preserve">Segment margin:</w:t>
      </w:r>
      <w:r>
        <w:t xml:space="preserve"> </w:t>
      </w:r>
      <w:r>
        <w:t xml:space="preserve">approximately</w:t>
      </w:r>
      <w:r>
        <w:t xml:space="preserve"> </w:t>
      </w:r>
      <w:r>
        <w:rPr>
          <w:b/>
          <w:bCs/>
        </w:rPr>
        <w:t xml:space="preserve">22.1%</w:t>
      </w:r>
    </w:p>
    <w:p>
      <w:pPr>
        <w:pStyle w:val="FirstParagraph"/>
      </w:pPr>
      <w:r>
        <w:t xml:space="preserve">That is a demanding margin comparison. Management nevertheless indicated that Power &amp; Energy’s second-quarter margin should be slightly higher year over year, with volume and pricing offsetting tariffs, depreciation and other capacity investments. (</w:t>
      </w:r>
      <w:hyperlink r:id="rId16">
        <w:r>
          <w:rPr>
            <w:rStyle w:val="Hyperlink"/>
          </w:rPr>
          <w:t xml:space="preserve">sec.gov</w:t>
        </w:r>
      </w:hyperlink>
      <w:r>
        <w:t xml:space="preserve">)</w:t>
      </w:r>
    </w:p>
    <w:bookmarkEnd w:id="17"/>
    <w:bookmarkStart w:id="19" w:name="what-investors-should-examine"/>
    <w:p>
      <w:pPr>
        <w:pStyle w:val="Heading3"/>
      </w:pPr>
      <w:r>
        <w:t xml:space="preserve">What investors should examine</w:t>
      </w:r>
    </w:p>
    <w:p>
      <w:pPr>
        <w:pStyle w:val="Compact"/>
        <w:numPr>
          <w:ilvl w:val="0"/>
          <w:numId w:val="1005"/>
        </w:numPr>
      </w:pPr>
      <w:r>
        <w:rPr>
          <w:b/>
          <w:bCs/>
        </w:rPr>
        <w:t xml:space="preserve">Backlog growth versus conversion:</w:t>
      </w:r>
      <w:r>
        <w:t xml:space="preserve"> </w:t>
      </w:r>
      <w:r>
        <w:t xml:space="preserve">A large revenue number matters less if backlog declines sharply or if new orders fail to replace shipments.</w:t>
      </w:r>
    </w:p>
    <w:p>
      <w:pPr>
        <w:pStyle w:val="Compact"/>
        <w:numPr>
          <w:ilvl w:val="0"/>
          <w:numId w:val="1005"/>
        </w:numPr>
      </w:pPr>
      <w:r>
        <w:rPr>
          <w:b/>
          <w:bCs/>
        </w:rPr>
        <w:t xml:space="preserve">Prime versus backup power:</w:t>
      </w:r>
      <w:r>
        <w:t xml:space="preserve"> </w:t>
      </w:r>
      <w:r>
        <w:t xml:space="preserve">Prime power can carry a more valuable long-term service stream, but may also involve greater project, permitting and fuel-infrastructure risk.</w:t>
      </w:r>
    </w:p>
    <w:p>
      <w:pPr>
        <w:pStyle w:val="Compact"/>
        <w:numPr>
          <w:ilvl w:val="0"/>
          <w:numId w:val="1005"/>
        </w:numPr>
      </w:pPr>
      <w:r>
        <w:rPr>
          <w:b/>
          <w:bCs/>
        </w:rPr>
        <w:t xml:space="preserve">Capacity execution:</w:t>
      </w:r>
      <w:r>
        <w:t xml:space="preserve"> </w:t>
      </w:r>
      <w:r>
        <w:t xml:space="preserve">CAT said it was tracking ahead of its 2026 large-engine expansion plans. Investors will want confirmation that production and suppliers remain on schedule.</w:t>
      </w:r>
    </w:p>
    <w:p>
      <w:pPr>
        <w:pStyle w:val="Compact"/>
        <w:numPr>
          <w:ilvl w:val="0"/>
          <w:numId w:val="1005"/>
        </w:numPr>
      </w:pPr>
      <w:r>
        <w:rPr>
          <w:b/>
          <w:bCs/>
        </w:rPr>
        <w:t xml:space="preserve">Order quality:</w:t>
      </w:r>
      <w:r>
        <w:t xml:space="preserve"> </w:t>
      </w:r>
      <w:r>
        <w:t xml:space="preserve">Listen for cancellation provisions, deposits, customer concentration and how much backlog is attached to projects with firm site, gas and permitting arrangements.</w:t>
      </w:r>
    </w:p>
    <w:p>
      <w:pPr>
        <w:pStyle w:val="Compact"/>
        <w:numPr>
          <w:ilvl w:val="0"/>
          <w:numId w:val="1005"/>
        </w:numPr>
      </w:pPr>
      <w:r>
        <w:rPr>
          <w:b/>
          <w:bCs/>
        </w:rPr>
        <w:t xml:space="preserve">Pricing:</w:t>
      </w:r>
      <w:r>
        <w:t xml:space="preserve"> </w:t>
      </w:r>
      <w:r>
        <w:t xml:space="preserve">Multi-year orders generally contain escalation mechanisms. The key is whether those clauses protect CAT against tariffs, labor, components and commodity inflation.</w:t>
      </w:r>
    </w:p>
    <w:p>
      <w:pPr>
        <w:pStyle w:val="FirstParagraph"/>
      </w:pPr>
      <w:r>
        <w:t xml:space="preserve">Recent agreements illustrate the scale of the opportunity. PROPWR committed to at least 1.5 GW, with an option that could bring the total to roughly 2.1 GW, while an alliance with American Intelligence &amp; Power included a 2 GW equipment order with deliveries beginning in September 2026. (</w:t>
      </w:r>
      <w:hyperlink r:id="rId18">
        <w:r>
          <w:rPr>
            <w:rStyle w:val="Hyperlink"/>
          </w:rPr>
          <w:t xml:space="preserve">caterpillar.com</w:t>
        </w:r>
      </w:hyperlink>
      <w:r>
        <w:t xml:space="preserve">)</w:t>
      </w:r>
    </w:p>
    <w:p>
      <w:pPr>
        <w:pStyle w:val="BodyText"/>
      </w:pPr>
      <w:r>
        <w:rPr>
          <w:b/>
          <w:bCs/>
        </w:rPr>
        <w:t xml:space="preserve">Bottom line:</w:t>
      </w:r>
      <w:r>
        <w:t xml:space="preserve"> </w:t>
      </w:r>
      <w:r>
        <w:t xml:space="preserve">Another quarter of strong Power &amp; Energy revenue is largely expected. The stock is more likely to react to</w:t>
      </w:r>
      <w:r>
        <w:t xml:space="preserve"> </w:t>
      </w:r>
      <w:r>
        <w:rPr>
          <w:b/>
          <w:bCs/>
        </w:rPr>
        <w:t xml:space="preserve">backlog, margin sustainability, capacity timing and forward order commentary</w:t>
      </w:r>
      <w:r>
        <w:t xml:space="preserve">.</w:t>
      </w:r>
    </w:p>
    <w:p>
      <w:r>
        <w:pict>
          <v:rect style="width:0;height:1.5pt" o:hralign="center" o:hrstd="t" o:hr="t"/>
        </w:pict>
      </w:r>
    </w:p>
    <w:bookmarkEnd w:id="19"/>
    <w:bookmarkEnd w:id="20"/>
    <w:bookmarkStart w:id="22" w:name="X7b4293b47d5874dc9278f32d37a00c45146f172"/>
    <w:p>
      <w:pPr>
        <w:pStyle w:val="Heading2"/>
      </w:pPr>
      <w:r>
        <w:t xml:space="preserve">2. Construction must prove that Q1 was more than dealer inventory</w:t>
      </w:r>
    </w:p>
    <w:p>
      <w:pPr>
        <w:pStyle w:val="FirstParagraph"/>
      </w:pPr>
      <w:r>
        <w:t xml:space="preserve">Construction Industries produced spectacular first-quarter reported growth:</w:t>
      </w:r>
    </w:p>
    <w:p>
      <w:pPr>
        <w:pStyle w:val="Compact"/>
        <w:numPr>
          <w:ilvl w:val="0"/>
          <w:numId w:val="1006"/>
        </w:numPr>
      </w:pPr>
      <w:r>
        <w:t xml:space="preserve">Sales increased</w:t>
      </w:r>
      <w:r>
        <w:t xml:space="preserve"> </w:t>
      </w:r>
      <w:r>
        <w:rPr>
          <w:b/>
          <w:bCs/>
        </w:rPr>
        <w:t xml:space="preserve">38% to $7.16 billion</w:t>
      </w:r>
      <w:r>
        <w:t xml:space="preserve">.</w:t>
      </w:r>
    </w:p>
    <w:p>
      <w:pPr>
        <w:pStyle w:val="Compact"/>
        <w:numPr>
          <w:ilvl w:val="0"/>
          <w:numId w:val="1006"/>
        </w:numPr>
      </w:pPr>
      <w:r>
        <w:t xml:space="preserve">Segment margin reached</w:t>
      </w:r>
      <w:r>
        <w:t xml:space="preserve"> </w:t>
      </w:r>
      <w:r>
        <w:rPr>
          <w:b/>
          <w:bCs/>
        </w:rPr>
        <w:t xml:space="preserve">21.4%</w:t>
      </w:r>
      <w:r>
        <w:t xml:space="preserve">.</w:t>
      </w:r>
    </w:p>
    <w:p>
      <w:pPr>
        <w:pStyle w:val="Compact"/>
        <w:numPr>
          <w:ilvl w:val="0"/>
          <w:numId w:val="1006"/>
        </w:numPr>
      </w:pPr>
      <w:r>
        <w:t xml:space="preserve">But a significant part of the sales increase came from a</w:t>
      </w:r>
      <w:r>
        <w:t xml:space="preserve"> </w:t>
      </w:r>
      <w:r>
        <w:rPr>
          <w:b/>
          <w:bCs/>
        </w:rPr>
        <w:t xml:space="preserve">$1.5 billion dealer-inventory build</w:t>
      </w:r>
      <w:r>
        <w:t xml:space="preserve">, versus a slight inventory decline in the prior-year quarter. (</w:t>
      </w:r>
      <w:hyperlink r:id="rId13">
        <w:r>
          <w:rPr>
            <w:rStyle w:val="Hyperlink"/>
          </w:rPr>
          <w:t xml:space="preserve">sec.gov</w:t>
        </w:r>
      </w:hyperlink>
      <w:r>
        <w:t xml:space="preserve">)</w:t>
      </w:r>
    </w:p>
    <w:p>
      <w:pPr>
        <w:pStyle w:val="FirstParagraph"/>
      </w:pPr>
      <w:r>
        <w:t xml:space="preserve">For the second quarter, management expected little sequential change in Construction dealer inventory and said volume growth should instead be driven by equipment sales to end users. That makes 2Q a cleaner test of underlying demand.</w:t>
      </w:r>
    </w:p>
    <w:p>
      <w:pPr>
        <w:pStyle w:val="BodyText"/>
      </w:pPr>
      <w:r>
        <w:t xml:space="preserve">The 2Q25 comparison is:</w:t>
      </w:r>
    </w:p>
    <w:p>
      <w:pPr>
        <w:pStyle w:val="Compact"/>
        <w:numPr>
          <w:ilvl w:val="0"/>
          <w:numId w:val="1007"/>
        </w:numPr>
      </w:pPr>
      <w:r>
        <w:rPr>
          <w:b/>
          <w:bCs/>
        </w:rPr>
        <w:t xml:space="preserve">Sales:</w:t>
      </w:r>
      <w:r>
        <w:t xml:space="preserve"> </w:t>
      </w:r>
      <w:r>
        <w:t xml:space="preserve">$6.19 billion</w:t>
      </w:r>
    </w:p>
    <w:p>
      <w:pPr>
        <w:pStyle w:val="Compact"/>
        <w:numPr>
          <w:ilvl w:val="0"/>
          <w:numId w:val="1007"/>
        </w:numPr>
      </w:pPr>
      <w:r>
        <w:rPr>
          <w:b/>
          <w:bCs/>
        </w:rPr>
        <w:t xml:space="preserve">Segment margin:</w:t>
      </w:r>
      <w:r>
        <w:t xml:space="preserve"> </w:t>
      </w:r>
      <w:r>
        <w:rPr>
          <w:b/>
          <w:bCs/>
        </w:rPr>
        <w:t xml:space="preserve">20.1%</w:t>
      </w:r>
    </w:p>
    <w:p>
      <w:pPr>
        <w:pStyle w:val="FirstParagraph"/>
      </w:pPr>
      <w:r>
        <w:t xml:space="preserve">Management expects both strong sales growth and a higher margin against that baseline, despite Construction absorbing roughly half of the projected quarterly tariff expense.</w:t>
      </w:r>
    </w:p>
    <w:bookmarkStart w:id="21" w:name="key-indicators"/>
    <w:p>
      <w:pPr>
        <w:pStyle w:val="Heading3"/>
      </w:pPr>
      <w:r>
        <w:t xml:space="preserve">Key indicators</w:t>
      </w:r>
    </w:p>
    <w:p>
      <w:pPr>
        <w:pStyle w:val="Compact"/>
        <w:numPr>
          <w:ilvl w:val="0"/>
          <w:numId w:val="1008"/>
        </w:numPr>
      </w:pPr>
      <w:r>
        <w:t xml:space="preserve">North American nonresidential construction and infrastructure demand.</w:t>
      </w:r>
    </w:p>
    <w:p>
      <w:pPr>
        <w:pStyle w:val="Compact"/>
        <w:numPr>
          <w:ilvl w:val="0"/>
          <w:numId w:val="1008"/>
        </w:numPr>
      </w:pPr>
      <w:r>
        <w:t xml:space="preserve">Dealer rental-fleet loading and rental revenue.</w:t>
      </w:r>
    </w:p>
    <w:p>
      <w:pPr>
        <w:pStyle w:val="Compact"/>
        <w:numPr>
          <w:ilvl w:val="0"/>
          <w:numId w:val="1008"/>
        </w:numPr>
      </w:pPr>
      <w:r>
        <w:t xml:space="preserve">Data-center-related site preparation and infrastructure activity.</w:t>
      </w:r>
    </w:p>
    <w:p>
      <w:pPr>
        <w:pStyle w:val="Compact"/>
        <w:numPr>
          <w:ilvl w:val="0"/>
          <w:numId w:val="1008"/>
        </w:numPr>
      </w:pPr>
      <w:r>
        <w:t xml:space="preserve">Whether price realization is enough to offset tariff and manufacturing costs.</w:t>
      </w:r>
    </w:p>
    <w:p>
      <w:pPr>
        <w:pStyle w:val="Compact"/>
        <w:numPr>
          <w:ilvl w:val="0"/>
          <w:numId w:val="1008"/>
        </w:numPr>
      </w:pPr>
      <w:r>
        <w:t xml:space="preserve">Dealer inventory in both dollars and months of sales.</w:t>
      </w:r>
    </w:p>
    <w:p>
      <w:pPr>
        <w:pStyle w:val="Compact"/>
        <w:numPr>
          <w:ilvl w:val="0"/>
          <w:numId w:val="1008"/>
        </w:numPr>
      </w:pPr>
      <w:r>
        <w:t xml:space="preserve">Conditions in Europe, the Middle East and Asia-Pacific, particularly China.</w:t>
      </w:r>
    </w:p>
    <w:p>
      <w:pPr>
        <w:pStyle w:val="FirstParagraph"/>
      </w:pPr>
      <w:r>
        <w:t xml:space="preserve">The most constructive result would combine strong end-user sales with stable dealer inventories. A quarter driven by another channel build would be lower quality, especially given the stock’s valuation.</w:t>
      </w:r>
    </w:p>
    <w:p>
      <w:r>
        <w:pict>
          <v:rect style="width:0;height:1.5pt" o:hralign="center" o:hrstd="t" o:hr="t"/>
        </w:pict>
      </w:r>
    </w:p>
    <w:bookmarkEnd w:id="21"/>
    <w:bookmarkEnd w:id="22"/>
    <w:bookmarkStart w:id="25" w:name="X44c4ab2b89e2e72a083ca863a487b30453b927d"/>
    <w:p>
      <w:pPr>
        <w:pStyle w:val="Heading2"/>
      </w:pPr>
      <w:r>
        <w:t xml:space="preserve">3. Resource Industries needs a margin recovery</w:t>
      </w:r>
    </w:p>
    <w:p>
      <w:pPr>
        <w:pStyle w:val="FirstParagraph"/>
      </w:pPr>
      <w:r>
        <w:t xml:space="preserve">Resource Industries was the clear weakness in Q1:</w:t>
      </w:r>
    </w:p>
    <w:p>
      <w:pPr>
        <w:pStyle w:val="Compact"/>
        <w:numPr>
          <w:ilvl w:val="0"/>
          <w:numId w:val="1009"/>
        </w:numPr>
      </w:pPr>
      <w:r>
        <w:t xml:space="preserve">Sales increased only</w:t>
      </w:r>
      <w:r>
        <w:t xml:space="preserve"> </w:t>
      </w:r>
      <w:r>
        <w:rPr>
          <w:b/>
          <w:bCs/>
        </w:rPr>
        <w:t xml:space="preserve">4% to $3.80 billion</w:t>
      </w:r>
      <w:r>
        <w:t xml:space="preserve">.</w:t>
      </w:r>
    </w:p>
    <w:p>
      <w:pPr>
        <w:pStyle w:val="Compact"/>
        <w:numPr>
          <w:ilvl w:val="0"/>
          <w:numId w:val="1009"/>
        </w:numPr>
      </w:pPr>
      <w:r>
        <w:t xml:space="preserve">Segment profit fell</w:t>
      </w:r>
      <w:r>
        <w:t xml:space="preserve"> </w:t>
      </w:r>
      <w:r>
        <w:rPr>
          <w:b/>
          <w:bCs/>
        </w:rPr>
        <w:t xml:space="preserve">39%</w:t>
      </w:r>
      <w:r>
        <w:t xml:space="preserve">.</w:t>
      </w:r>
    </w:p>
    <w:p>
      <w:pPr>
        <w:pStyle w:val="Compact"/>
        <w:numPr>
          <w:ilvl w:val="0"/>
          <w:numId w:val="1009"/>
        </w:numPr>
      </w:pPr>
      <w:r>
        <w:t xml:space="preserve">Margin dropped to</w:t>
      </w:r>
      <w:r>
        <w:t xml:space="preserve"> </w:t>
      </w:r>
      <w:r>
        <w:rPr>
          <w:b/>
          <w:bCs/>
        </w:rPr>
        <w:t xml:space="preserve">10.0%</w:t>
      </w:r>
      <w:r>
        <w:t xml:space="preserve">, from 17.0%.</w:t>
      </w:r>
    </w:p>
    <w:p>
      <w:pPr>
        <w:pStyle w:val="Compact"/>
        <w:numPr>
          <w:ilvl w:val="0"/>
          <w:numId w:val="1009"/>
        </w:numPr>
      </w:pPr>
      <w:r>
        <w:t xml:space="preserve">Tariffs, production delays and the timing of customer discounts weighed on profitability. (</w:t>
      </w:r>
      <w:hyperlink r:id="rId13">
        <w:r>
          <w:rPr>
            <w:rStyle w:val="Hyperlink"/>
          </w:rPr>
          <w:t xml:space="preserve">sec.gov</w:t>
        </w:r>
      </w:hyperlink>
      <w:r>
        <w:t xml:space="preserve">)</w:t>
      </w:r>
    </w:p>
    <w:p>
      <w:pPr>
        <w:pStyle w:val="FirstParagraph"/>
      </w:pPr>
      <w:r>
        <w:t xml:space="preserve">Management expects strong 2Q sales growth from improved end-user deliveries and better price realization, but still expects the segment’s margin to decline year over year.</w:t>
      </w:r>
    </w:p>
    <w:p>
      <w:pPr>
        <w:pStyle w:val="BodyText"/>
      </w:pPr>
      <w:r>
        <w:t xml:space="preserve">The recast 2Q25 comparison is:</w:t>
      </w:r>
    </w:p>
    <w:p>
      <w:pPr>
        <w:pStyle w:val="Compact"/>
        <w:numPr>
          <w:ilvl w:val="0"/>
          <w:numId w:val="1010"/>
        </w:numPr>
      </w:pPr>
      <w:r>
        <w:rPr>
          <w:b/>
          <w:bCs/>
        </w:rPr>
        <w:t xml:space="preserve">Sales:</w:t>
      </w:r>
      <w:r>
        <w:t xml:space="preserve"> </w:t>
      </w:r>
      <w:r>
        <w:t xml:space="preserve">$3.89 billion</w:t>
      </w:r>
    </w:p>
    <w:p>
      <w:pPr>
        <w:pStyle w:val="Compact"/>
        <w:numPr>
          <w:ilvl w:val="0"/>
          <w:numId w:val="1010"/>
        </w:numPr>
      </w:pPr>
      <w:r>
        <w:rPr>
          <w:b/>
          <w:bCs/>
        </w:rPr>
        <w:t xml:space="preserve">Segment profit:</w:t>
      </w:r>
      <w:r>
        <w:t xml:space="preserve"> </w:t>
      </w:r>
      <w:r>
        <w:t xml:space="preserve">$563 million</w:t>
      </w:r>
    </w:p>
    <w:p>
      <w:pPr>
        <w:pStyle w:val="Compact"/>
        <w:numPr>
          <w:ilvl w:val="0"/>
          <w:numId w:val="1010"/>
        </w:numPr>
      </w:pPr>
      <w:r>
        <w:rPr>
          <w:b/>
          <w:bCs/>
        </w:rPr>
        <w:t xml:space="preserve">Segment margin:</w:t>
      </w:r>
      <w:r>
        <w:t xml:space="preserve"> </w:t>
      </w:r>
      <w:r>
        <w:t xml:space="preserve">approximately</w:t>
      </w:r>
      <w:r>
        <w:t xml:space="preserve"> </w:t>
      </w:r>
      <w:r>
        <w:rPr>
          <w:b/>
          <w:bCs/>
        </w:rPr>
        <w:t xml:space="preserve">14.5%</w:t>
      </w:r>
      <w:r>
        <w:t xml:space="preserve"> </w:t>
      </w:r>
      <w:r>
        <w:t xml:space="preserve">(</w:t>
      </w:r>
      <w:hyperlink r:id="rId16">
        <w:r>
          <w:rPr>
            <w:rStyle w:val="Hyperlink"/>
          </w:rPr>
          <w:t xml:space="preserve">sec.gov</w:t>
        </w:r>
      </w:hyperlink>
      <w:r>
        <w:t xml:space="preserve">)</w:t>
      </w:r>
    </w:p>
    <w:bookmarkStart w:id="24" w:name="what-would-constitute-progress"/>
    <w:p>
      <w:pPr>
        <w:pStyle w:val="Heading3"/>
      </w:pPr>
      <w:r>
        <w:t xml:space="preserve">What would constitute progress?</w:t>
      </w:r>
    </w:p>
    <w:p>
      <w:pPr>
        <w:pStyle w:val="Compact"/>
        <w:numPr>
          <w:ilvl w:val="0"/>
          <w:numId w:val="1011"/>
        </w:numPr>
      </w:pPr>
      <w:r>
        <w:t xml:space="preserve">Resolution of the short-term production and delivery delays.</w:t>
      </w:r>
    </w:p>
    <w:p>
      <w:pPr>
        <w:pStyle w:val="Compact"/>
        <w:numPr>
          <w:ilvl w:val="0"/>
          <w:numId w:val="1011"/>
        </w:numPr>
      </w:pPr>
      <w:r>
        <w:t xml:space="preserve">Price realization turning positive or becoming materially less negative.</w:t>
      </w:r>
    </w:p>
    <w:p>
      <w:pPr>
        <w:pStyle w:val="Compact"/>
        <w:numPr>
          <w:ilvl w:val="0"/>
          <w:numId w:val="1011"/>
        </w:numPr>
      </w:pPr>
      <w:r>
        <w:t xml:space="preserve">Margin recovering meaningfully from Q1’s 10%, even if it remains below 14.5%.</w:t>
      </w:r>
    </w:p>
    <w:p>
      <w:pPr>
        <w:pStyle w:val="Compact"/>
        <w:numPr>
          <w:ilvl w:val="0"/>
          <w:numId w:val="1011"/>
        </w:numPr>
      </w:pPr>
      <w:r>
        <w:t xml:space="preserve">Continued mining orders tied to copper, gold and aging-fleet replacement.</w:t>
      </w:r>
    </w:p>
    <w:p>
      <w:pPr>
        <w:pStyle w:val="Compact"/>
        <w:numPr>
          <w:ilvl w:val="0"/>
          <w:numId w:val="1011"/>
        </w:numPr>
      </w:pPr>
      <w:r>
        <w:t xml:space="preserve">Evidence that autonomy and technology spending is producing commercial wins.</w:t>
      </w:r>
    </w:p>
    <w:p>
      <w:pPr>
        <w:pStyle w:val="FirstParagraph"/>
      </w:pPr>
      <w:r>
        <w:t xml:space="preserve">Caterpillar’s July acquisition of Skycatch adds near-real-time spatial data and AI capabilities to the mining technology portfolio, complementing RPMGlobal and MineStar. Strategically, that supports a stronger software and autonomy offering, although integration and development spending can weigh on near-term Resource margins. (</w:t>
      </w:r>
      <w:hyperlink r:id="rId23">
        <w:r>
          <w:rPr>
            <w:rStyle w:val="Hyperlink"/>
          </w:rPr>
          <w:t xml:space="preserve">caterpillar.com</w:t>
        </w:r>
      </w:hyperlink>
      <w:r>
        <w:t xml:space="preserve">)</w:t>
      </w:r>
    </w:p>
    <w:p>
      <w:r>
        <w:pict>
          <v:rect style="width:0;height:1.5pt" o:hralign="center" o:hrstd="t" o:hr="t"/>
        </w:pict>
      </w:r>
    </w:p>
    <w:bookmarkEnd w:id="24"/>
    <w:bookmarkEnd w:id="25"/>
    <w:bookmarkStart w:id="29" w:name="X1de847b4cff9115387f9935f167169961ab45bb"/>
    <w:p>
      <w:pPr>
        <w:pStyle w:val="Heading2"/>
      </w:pPr>
      <w:r>
        <w:t xml:space="preserve">4. Tariffs are the biggest earnings-model variable</w:t>
      </w:r>
    </w:p>
    <w:p>
      <w:pPr>
        <w:pStyle w:val="FirstParagraph"/>
      </w:pPr>
      <w:r>
        <w:t xml:space="preserve">Caterpillar previously estimated:</w:t>
      </w:r>
    </w:p>
    <w:p>
      <w:pPr>
        <w:pStyle w:val="Compact"/>
        <w:numPr>
          <w:ilvl w:val="0"/>
          <w:numId w:val="1012"/>
        </w:numPr>
      </w:pPr>
      <w:r>
        <w:t xml:space="preserve">Approximately</w:t>
      </w:r>
      <w:r>
        <w:t xml:space="preserve"> </w:t>
      </w:r>
      <w:r>
        <w:rPr>
          <w:b/>
          <w:bCs/>
        </w:rPr>
        <w:t xml:space="preserve">$700 million</w:t>
      </w:r>
      <w:r>
        <w:t xml:space="preserve"> </w:t>
      </w:r>
      <w:r>
        <w:t xml:space="preserve">of tariff cost in Q2.</w:t>
      </w:r>
    </w:p>
    <w:p>
      <w:pPr>
        <w:pStyle w:val="Compact"/>
        <w:numPr>
          <w:ilvl w:val="0"/>
          <w:numId w:val="1012"/>
        </w:numPr>
      </w:pPr>
      <m:oMath>
        <m:r>
          <m:t>2.2</m:t>
        </m:r>
        <m:r>
          <m:t>b</m:t>
        </m:r>
        <m:r>
          <m:t>i</m:t>
        </m:r>
        <m:r>
          <m:t>l</m:t>
        </m:r>
        <m:r>
          <m:t>l</m:t>
        </m:r>
        <m:r>
          <m:t>i</m:t>
        </m:r>
        <m:r>
          <m:t>o</m:t>
        </m:r>
        <m:r>
          <m:t>n</m:t>
        </m:r>
        <m:r>
          <m:rPr>
            <m:sty m:val="p"/>
          </m:rPr>
          <m:t>–</m:t>
        </m:r>
      </m:oMath>
      <w:r>
        <w:rPr>
          <w:b/>
          <w:bCs/>
        </w:rPr>
        <w:t xml:space="preserve">2.4 billion</w:t>
      </w:r>
      <w:r>
        <w:t xml:space="preserve"> </w:t>
      </w:r>
      <w:r>
        <w:t xml:space="preserve">for full-year 2026.</w:t>
      </w:r>
    </w:p>
    <w:p>
      <w:pPr>
        <w:pStyle w:val="Compact"/>
        <w:numPr>
          <w:ilvl w:val="0"/>
          <w:numId w:val="1012"/>
        </w:numPr>
      </w:pPr>
      <w:r>
        <w:t xml:space="preserve">Increasing mitigation benefits in the second half.</w:t>
      </w:r>
    </w:p>
    <w:p>
      <w:pPr>
        <w:pStyle w:val="FirstParagraph"/>
      </w:pPr>
      <w:r>
        <w:t xml:space="preserve">That outlook now requires an update because the tariff framework has changed since the April report. The Court of International Trade ruled against the Section 122 tariff structure on May 7, while new Section 301 duties of 10%–12.5% on goods from 60 trading partners took effect on July 24. (</w:t>
      </w:r>
      <w:hyperlink r:id="rId26">
        <w:r>
          <w:rPr>
            <w:rStyle w:val="Hyperlink"/>
          </w:rPr>
          <w:t xml:space="preserve">internationaltradeinsights.com</w:t>
        </w:r>
      </w:hyperlink>
      <w:r>
        <w:t xml:space="preserve">)</w:t>
      </w:r>
    </w:p>
    <w:p>
      <w:pPr>
        <w:pStyle w:val="BodyText"/>
      </w:pPr>
      <w:r>
        <w:t xml:space="preserve">Investors should look for answers to four questions:</w:t>
      </w:r>
    </w:p>
    <w:p>
      <w:pPr>
        <w:pStyle w:val="Compact"/>
        <w:numPr>
          <w:ilvl w:val="0"/>
          <w:numId w:val="1013"/>
        </w:numPr>
      </w:pPr>
      <w:r>
        <w:t xml:space="preserve">Does the Q2 tariff bill remain close to $700 million?</w:t>
      </w:r>
    </w:p>
    <w:p>
      <w:pPr>
        <w:pStyle w:val="Compact"/>
        <w:numPr>
          <w:ilvl w:val="0"/>
          <w:numId w:val="1013"/>
        </w:numPr>
      </w:pPr>
      <w:r>
        <w:t xml:space="preserve">Is the</w:t>
      </w:r>
      <w:r>
        <w:t xml:space="preserve"> </w:t>
      </w:r>
      <m:oMath>
        <m:r>
          <m:t>2.2</m:t>
        </m:r>
        <m:r>
          <m:t>b</m:t>
        </m:r>
        <m:r>
          <m:t>i</m:t>
        </m:r>
        <m:r>
          <m:t>l</m:t>
        </m:r>
        <m:r>
          <m:t>l</m:t>
        </m:r>
        <m:r>
          <m:t>i</m:t>
        </m:r>
        <m:r>
          <m:t>o</m:t>
        </m:r>
        <m:r>
          <m:t>n</m:t>
        </m:r>
        <m:r>
          <m:rPr>
            <m:sty m:val="p"/>
          </m:rPr>
          <m:t>–</m:t>
        </m:r>
      </m:oMath>
      <w:r>
        <w:t xml:space="preserve">2.4 billion full-year range still valid?</w:t>
      </w:r>
    </w:p>
    <w:p>
      <w:pPr>
        <w:pStyle w:val="Compact"/>
        <w:numPr>
          <w:ilvl w:val="0"/>
          <w:numId w:val="1013"/>
        </w:numPr>
      </w:pPr>
      <w:r>
        <w:t xml:space="preserve">Are potential refunds recognized, excluded or considered too uncertain?</w:t>
      </w:r>
    </w:p>
    <w:p>
      <w:pPr>
        <w:pStyle w:val="Compact"/>
        <w:numPr>
          <w:ilvl w:val="0"/>
          <w:numId w:val="1013"/>
        </w:numPr>
      </w:pPr>
      <w:r>
        <w:t xml:space="preserve">How much mitigation will come from pricing, sourcing changes, footprint adjustments and supplier negotiations?</w:t>
      </w:r>
    </w:p>
    <w:bookmarkStart w:id="28" w:name="do-not-over-extrapolate-the-q1-eps-beat"/>
    <w:p>
      <w:pPr>
        <w:pStyle w:val="Heading3"/>
      </w:pPr>
      <w:r>
        <w:t xml:space="preserve">Do not over-extrapolate the Q1 EPS beat</w:t>
      </w:r>
    </w:p>
    <w:p>
      <w:pPr>
        <w:pStyle w:val="FirstParagraph"/>
      </w:pPr>
      <w:r>
        <w:t xml:space="preserve">First-quarter adjusted EPS of $5.54 benefited by approximately:</w:t>
      </w:r>
    </w:p>
    <w:p>
      <w:pPr>
        <w:pStyle w:val="Compact"/>
        <w:numPr>
          <w:ilvl w:val="0"/>
          <w:numId w:val="1014"/>
        </w:numPr>
      </w:pPr>
      <w:r>
        <w:rPr>
          <w:b/>
          <w:bCs/>
        </w:rPr>
        <w:t xml:space="preserve">$0.31</w:t>
      </w:r>
      <w:r>
        <w:t xml:space="preserve"> </w:t>
      </w:r>
      <w:r>
        <w:t xml:space="preserve">from a favorable tariff-cost adjustment; and</w:t>
      </w:r>
    </w:p>
    <w:p>
      <w:pPr>
        <w:pStyle w:val="Compact"/>
        <w:numPr>
          <w:ilvl w:val="0"/>
          <w:numId w:val="1014"/>
        </w:numPr>
      </w:pPr>
      <w:r>
        <w:rPr>
          <w:b/>
          <w:bCs/>
        </w:rPr>
        <w:t xml:space="preserve">$0.15</w:t>
      </w:r>
      <w:r>
        <w:t xml:space="preserve"> </w:t>
      </w:r>
      <w:r>
        <w:t xml:space="preserve">from a discrete tax benefit.</w:t>
      </w:r>
    </w:p>
    <w:p>
      <w:pPr>
        <w:pStyle w:val="FirstParagraph"/>
      </w:pPr>
      <w:r>
        <w:t xml:space="preserve">Thus, roughly $0.46 per share of the quarter’s result came from items investors should not automatically annualize. The quality of the 2Q beat will depend more on operating volume, pricing and manufacturing performance. (</w:t>
      </w:r>
      <w:hyperlink r:id="rId27">
        <w:r>
          <w:rPr>
            <w:rStyle w:val="Hyperlink"/>
          </w:rPr>
          <w:t xml:space="preserve">investors.caterpillar.com</w:t>
        </w:r>
      </w:hyperlink>
      <w:r>
        <w:t xml:space="preserve">)</w:t>
      </w:r>
    </w:p>
    <w:p>
      <w:r>
        <w:pict>
          <v:rect style="width:0;height:1.5pt" o:hralign="center" o:hrstd="t" o:hr="t"/>
        </w:pict>
      </w:r>
    </w:p>
    <w:bookmarkEnd w:id="28"/>
    <w:bookmarkEnd w:id="29"/>
    <w:bookmarkStart w:id="30" w:name="Xc12f67a526f19d5f2b44fbaa8354418a0357bf3"/>
    <w:p>
      <w:pPr>
        <w:pStyle w:val="Heading2"/>
      </w:pPr>
      <w:r>
        <w:t xml:space="preserve">5. Guidance will probably matter more than the reported beat</w:t>
      </w:r>
    </w:p>
    <w:p>
      <w:pPr>
        <w:pStyle w:val="FirstParagraph"/>
      </w:pPr>
      <w:r>
        <w:t xml:space="preserve">Caterpillar’s current full-year framework calls for:</w:t>
      </w:r>
    </w:p>
    <w:p>
      <w:pPr>
        <w:pStyle w:val="Compact"/>
        <w:numPr>
          <w:ilvl w:val="0"/>
          <w:numId w:val="1015"/>
        </w:numPr>
      </w:pPr>
      <w:r>
        <w:t xml:space="preserve">Low-double-digit sales and revenue growth.</w:t>
      </w:r>
    </w:p>
    <w:p>
      <w:pPr>
        <w:pStyle w:val="Compact"/>
        <w:numPr>
          <w:ilvl w:val="0"/>
          <w:numId w:val="1015"/>
        </w:numPr>
      </w:pPr>
      <w:r>
        <w:t xml:space="preserve">Strong growth in all three primary segments.</w:t>
      </w:r>
    </w:p>
    <w:p>
      <w:pPr>
        <w:pStyle w:val="Compact"/>
        <w:numPr>
          <w:ilvl w:val="0"/>
          <w:numId w:val="1015"/>
        </w:numPr>
      </w:pPr>
      <w:r>
        <w:t xml:space="preserve">Adjusted operating margin near the bottom of its progressive target range.</w:t>
      </w:r>
    </w:p>
    <w:p>
      <w:pPr>
        <w:pStyle w:val="Compact"/>
        <w:numPr>
          <w:ilvl w:val="0"/>
          <w:numId w:val="1015"/>
        </w:numPr>
      </w:pPr>
      <w:r>
        <w:t xml:space="preserve">MP&amp;E free cash flow above 2025’s $9.5 billion.</w:t>
      </w:r>
    </w:p>
    <w:p>
      <w:pPr>
        <w:pStyle w:val="Compact"/>
        <w:numPr>
          <w:ilvl w:val="0"/>
          <w:numId w:val="1015"/>
        </w:numPr>
      </w:pPr>
      <w:r>
        <w:t xml:space="preserve">Approximately $3.5 billion of capital expenditures.</w:t>
      </w:r>
    </w:p>
    <w:p>
      <w:pPr>
        <w:pStyle w:val="Compact"/>
        <w:numPr>
          <w:ilvl w:val="0"/>
          <w:numId w:val="1015"/>
        </w:numPr>
      </w:pPr>
      <w:r>
        <w:t xml:space="preserve">A 23% underlying tax rate.</w:t>
      </w:r>
    </w:p>
    <w:p>
      <w:pPr>
        <w:pStyle w:val="Compact"/>
        <w:numPr>
          <w:ilvl w:val="0"/>
          <w:numId w:val="1015"/>
        </w:numPr>
      </w:pPr>
      <m:oMath>
        <m:r>
          <m:t>300</m:t>
        </m:r>
        <m:r>
          <m:t>m</m:t>
        </m:r>
        <m:r>
          <m:t>i</m:t>
        </m:r>
        <m:r>
          <m:t>l</m:t>
        </m:r>
        <m:r>
          <m:t>l</m:t>
        </m:r>
        <m:r>
          <m:t>i</m:t>
        </m:r>
        <m:r>
          <m:t>o</m:t>
        </m:r>
        <m:r>
          <m:t>n</m:t>
        </m:r>
        <m:r>
          <m:rPr>
            <m:sty m:val="p"/>
          </m:rPr>
          <m:t>–</m:t>
        </m:r>
      </m:oMath>
      <w:r>
        <w:t xml:space="preserve">350 million of restructuring expense. (</w:t>
      </w:r>
      <w:hyperlink r:id="rId13">
        <w:r>
          <w:rPr>
            <w:rStyle w:val="Hyperlink"/>
          </w:rPr>
          <w:t xml:space="preserve">sec.gov</w:t>
        </w:r>
      </w:hyperlink>
      <w:r>
        <w:t xml:space="preserve">)</w:t>
      </w:r>
    </w:p>
    <w:p>
      <w:pPr>
        <w:pStyle w:val="FirstParagraph"/>
      </w:pPr>
      <w:r>
        <w:t xml:space="preserve">Given the stock’s valuation, merely reiterating this framework after a modest beat could produce a muted reaction. A clearly positive report would likely require at least one of the following:</w:t>
      </w:r>
    </w:p>
    <w:p>
      <w:pPr>
        <w:pStyle w:val="Compact"/>
        <w:numPr>
          <w:ilvl w:val="0"/>
          <w:numId w:val="1016"/>
        </w:numPr>
      </w:pPr>
      <w:r>
        <w:t xml:space="preserve">A higher full-year sales outlook.</w:t>
      </w:r>
    </w:p>
    <w:p>
      <w:pPr>
        <w:pStyle w:val="Compact"/>
        <w:numPr>
          <w:ilvl w:val="0"/>
          <w:numId w:val="1016"/>
        </w:numPr>
      </w:pPr>
      <w:r>
        <w:t xml:space="preserve">Better margin positioning within the target range.</w:t>
      </w:r>
    </w:p>
    <w:p>
      <w:pPr>
        <w:pStyle w:val="Compact"/>
        <w:numPr>
          <w:ilvl w:val="0"/>
          <w:numId w:val="1016"/>
        </w:numPr>
      </w:pPr>
      <w:r>
        <w:t xml:space="preserve">A lower net tariff-cost estimate.</w:t>
      </w:r>
    </w:p>
    <w:p>
      <w:pPr>
        <w:pStyle w:val="Compact"/>
        <w:numPr>
          <w:ilvl w:val="0"/>
          <w:numId w:val="1016"/>
        </w:numPr>
      </w:pPr>
      <w:r>
        <w:t xml:space="preserve">Higher free-cash-flow guidance.</w:t>
      </w:r>
    </w:p>
    <w:p>
      <w:pPr>
        <w:pStyle w:val="Compact"/>
        <w:numPr>
          <w:ilvl w:val="0"/>
          <w:numId w:val="1016"/>
        </w:numPr>
      </w:pPr>
      <w:r>
        <w:t xml:space="preserve">Another meaningful increase in Power &amp; Energy backlog or capacity expectations.</w:t>
      </w:r>
    </w:p>
    <w:p>
      <w:pPr>
        <w:pStyle w:val="FirstParagraph"/>
      </w:pPr>
      <w:r>
        <w:t xml:space="preserve">Capital returns remain supportive. CAT repurchased roughly $5 billion of stock in Q1, and in June raised its quarterly dividend by about 8%, to $1.63 per share. (</w:t>
      </w:r>
      <w:hyperlink r:id="rId13">
        <w:r>
          <w:rPr>
            <w:rStyle w:val="Hyperlink"/>
          </w:rPr>
          <w:t xml:space="preserve">sec.gov</w:t>
        </w:r>
      </w:hyperlink>
      <w:r>
        <w:t xml:space="preserve">)</w:t>
      </w:r>
    </w:p>
    <w:p>
      <w:r>
        <w:pict>
          <v:rect style="width:0;height:1.5pt" o:hralign="center" o:hrstd="t" o:hr="t"/>
        </w:pict>
      </w:r>
    </w:p>
    <w:bookmarkEnd w:id="30"/>
    <w:bookmarkStart w:id="31" w:name="earnings-scorecard"/>
    <w:p>
      <w:pPr>
        <w:pStyle w:val="Heading2"/>
      </w:pPr>
      <w:r>
        <w:t xml:space="preserve">Earnings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Constructive outcome</w:t>
            </w:r>
          </w:p>
        </w:tc>
        <w:tc>
          <w:tcPr/>
          <w:p>
            <w:pPr>
              <w:pStyle w:val="Compact"/>
            </w:pPr>
            <w:r>
              <w:t xml:space="preserve">Potential concern</w:t>
            </w:r>
          </w:p>
        </w:tc>
      </w:tr>
      <w:tr>
        <w:tc>
          <w:tcPr/>
          <w:p>
            <w:pPr>
              <w:pStyle w:val="Compact"/>
            </w:pPr>
            <w:r>
              <w:t xml:space="preserve">Revenue</w:t>
            </w:r>
          </w:p>
        </w:tc>
        <w:tc>
          <w:tcPr/>
          <w:p>
            <w:pPr>
              <w:pStyle w:val="Compact"/>
            </w:pPr>
            <w:r>
              <w:t xml:space="preserve">Above roughly $19.3B</w:t>
            </w:r>
          </w:p>
        </w:tc>
        <w:tc>
          <w:tcPr/>
          <w:p>
            <w:pPr>
              <w:pStyle w:val="Compact"/>
            </w:pPr>
            <w:r>
              <w:t xml:space="preserve">Below $19.0B</w:t>
            </w:r>
          </w:p>
        </w:tc>
      </w:tr>
      <w:tr>
        <w:tc>
          <w:tcPr/>
          <w:p>
            <w:pPr>
              <w:pStyle w:val="Compact"/>
            </w:pPr>
            <w:r>
              <w:t xml:space="preserve">Adjusted EPS</w:t>
            </w:r>
          </w:p>
        </w:tc>
        <w:tc>
          <w:tcPr/>
          <w:p>
            <w:pPr>
              <w:pStyle w:val="Compact"/>
            </w:pPr>
            <w:r>
              <w:t xml:space="preserve">Above roughly $6.25, driven by operations</w:t>
            </w:r>
          </w:p>
        </w:tc>
        <w:tc>
          <w:tcPr/>
          <w:p>
            <w:pPr>
              <w:pStyle w:val="Compact"/>
            </w:pPr>
            <w:r>
              <w:t xml:space="preserve">Beat driven mainly by tax or tariff adjustments</w:t>
            </w:r>
          </w:p>
        </w:tc>
      </w:tr>
      <w:tr>
        <w:tc>
          <w:tcPr/>
          <w:p>
            <w:pPr>
              <w:pStyle w:val="Compact"/>
            </w:pPr>
            <w:r>
              <w:t xml:space="preserve">Adjusted margin</w:t>
            </w:r>
          </w:p>
        </w:tc>
        <w:tc>
          <w:tcPr/>
          <w:p>
            <w:pPr>
              <w:pStyle w:val="Compact"/>
            </w:pPr>
            <w:r>
              <w:t xml:space="preserve">Comfortably above 17.6%</w:t>
            </w:r>
          </w:p>
        </w:tc>
        <w:tc>
          <w:tcPr/>
          <w:p>
            <w:pPr>
              <w:pStyle w:val="Compact"/>
            </w:pPr>
            <w:r>
              <w:t xml:space="preserve">Limited improvement despite strong volume</w:t>
            </w:r>
          </w:p>
        </w:tc>
      </w:tr>
      <w:tr>
        <w:tc>
          <w:tcPr/>
          <w:p>
            <w:pPr>
              <w:pStyle w:val="Compact"/>
            </w:pPr>
            <w:r>
              <w:t xml:space="preserve">Power &amp; Energy</w:t>
            </w:r>
          </w:p>
        </w:tc>
        <w:tc>
          <w:tcPr/>
          <w:p>
            <w:pPr>
              <w:pStyle w:val="Compact"/>
            </w:pPr>
            <w:r>
              <w:t xml:space="preserve">Strong growth, margin around or above 22%, backlog holds or rises</w:t>
            </w:r>
          </w:p>
        </w:tc>
        <w:tc>
          <w:tcPr/>
          <w:p>
            <w:pPr>
              <w:pStyle w:val="Compact"/>
            </w:pPr>
            <w:r>
              <w:t xml:space="preserve">Backlog decline, project delays or margin below expectations</w:t>
            </w:r>
          </w:p>
        </w:tc>
      </w:tr>
      <w:tr>
        <w:tc>
          <w:tcPr/>
          <w:p>
            <w:pPr>
              <w:pStyle w:val="Compact"/>
            </w:pPr>
            <w:r>
              <w:t xml:space="preserve">Construction</w:t>
            </w:r>
          </w:p>
        </w:tc>
        <w:tc>
          <w:tcPr/>
          <w:p>
            <w:pPr>
              <w:pStyle w:val="Compact"/>
            </w:pPr>
            <w:r>
              <w:t xml:space="preserve">End-user-driven growth with stable dealer inventory</w:t>
            </w:r>
          </w:p>
        </w:tc>
        <w:tc>
          <w:tcPr/>
          <w:p>
            <w:pPr>
              <w:pStyle w:val="Compact"/>
            </w:pPr>
            <w:r>
              <w:t xml:space="preserve">Further channel build or weak retail demand</w:t>
            </w:r>
          </w:p>
        </w:tc>
      </w:tr>
      <w:tr>
        <w:tc>
          <w:tcPr/>
          <w:p>
            <w:pPr>
              <w:pStyle w:val="Compact"/>
            </w:pPr>
            <w:r>
              <w:t xml:space="preserve">Resource Industries</w:t>
            </w:r>
          </w:p>
        </w:tc>
        <w:tc>
          <w:tcPr/>
          <w:p>
            <w:pPr>
              <w:pStyle w:val="Compact"/>
            </w:pPr>
            <w:r>
              <w:t xml:space="preserve">Clear sequential margin recovery</w:t>
            </w:r>
          </w:p>
        </w:tc>
        <w:tc>
          <w:tcPr/>
          <w:p>
            <w:pPr>
              <w:pStyle w:val="Compact"/>
            </w:pPr>
            <w:r>
              <w:t xml:space="preserve">Margin remains near Q1’s 10%</w:t>
            </w:r>
          </w:p>
        </w:tc>
      </w:tr>
      <w:tr>
        <w:tc>
          <w:tcPr/>
          <w:p>
            <w:pPr>
              <w:pStyle w:val="Compact"/>
            </w:pPr>
            <w:r>
              <w:t xml:space="preserve">Tariffs</w:t>
            </w:r>
          </w:p>
        </w:tc>
        <w:tc>
          <w:tcPr/>
          <w:p>
            <w:pPr>
              <w:pStyle w:val="Compact"/>
            </w:pPr>
            <w:r>
              <w:t xml:space="preserve">Full-year cost maintained or reduced</w:t>
            </w:r>
          </w:p>
        </w:tc>
        <w:tc>
          <w:tcPr/>
          <w:p>
            <w:pPr>
              <w:pStyle w:val="Compact"/>
            </w:pPr>
            <w:r>
              <w:t xml:space="preserve">Higher cost range or delayed mitigation</w:t>
            </w:r>
          </w:p>
        </w:tc>
      </w:tr>
      <w:tr>
        <w:tc>
          <w:tcPr/>
          <w:p>
            <w:pPr>
              <w:pStyle w:val="Compact"/>
            </w:pPr>
            <w:r>
              <w:t xml:space="preserve">Guidance</w:t>
            </w:r>
          </w:p>
        </w:tc>
        <w:tc>
          <w:tcPr/>
          <w:p>
            <w:pPr>
              <w:pStyle w:val="Compact"/>
            </w:pPr>
            <w:r>
              <w:t xml:space="preserve">Sales, margin or cash outlook raised</w:t>
            </w:r>
          </w:p>
        </w:tc>
        <w:tc>
          <w:tcPr/>
          <w:p>
            <w:pPr>
              <w:pStyle w:val="Compact"/>
            </w:pPr>
            <w:r>
              <w:t xml:space="preserve">Guidance merely maintained after a large quarterly beat</w:t>
            </w:r>
          </w:p>
        </w:tc>
      </w:tr>
      <w:tr>
        <w:tc>
          <w:tcPr/>
          <w:p>
            <w:pPr>
              <w:pStyle w:val="Compact"/>
            </w:pPr>
            <w:r>
              <w:t xml:space="preserve">Backlog</w:t>
            </w:r>
          </w:p>
        </w:tc>
        <w:tc>
          <w:tcPr/>
          <w:p>
            <w:pPr>
              <w:pStyle w:val="Compact"/>
            </w:pPr>
            <w:r>
              <w:t xml:space="preserve">Broad-based order growth and firm customer commitments</w:t>
            </w:r>
          </w:p>
        </w:tc>
        <w:tc>
          <w:tcPr/>
          <w:p>
            <w:pPr>
              <w:pStyle w:val="Compact"/>
            </w:pPr>
            <w:r>
              <w:t xml:space="preserve">Increasing cancellations, customer concentration or permitting delays</w:t>
            </w:r>
          </w:p>
        </w:tc>
      </w:tr>
    </w:tbl>
    <w:p>
      <w:r>
        <w:pict>
          <v:rect style="width:0;height:1.5pt" o:hralign="center" o:hrstd="t" o:hr="t"/>
        </w:pict>
      </w:r>
    </w:p>
    <w:bookmarkEnd w:id="31"/>
    <w:bookmarkStart w:id="35" w:name="likely-market-scenarios"/>
    <w:p>
      <w:pPr>
        <w:pStyle w:val="Heading2"/>
      </w:pPr>
      <w:r>
        <w:t xml:space="preserve">Likely market scenarios</w:t>
      </w:r>
    </w:p>
    <w:bookmarkStart w:id="32" w:name="bull-case"/>
    <w:p>
      <w:pPr>
        <w:pStyle w:val="Heading3"/>
      </w:pPr>
      <w:r>
        <w:t xml:space="preserve">Bull case</w:t>
      </w:r>
    </w:p>
    <w:p>
      <w:pPr>
        <w:pStyle w:val="Compact"/>
        <w:numPr>
          <w:ilvl w:val="0"/>
          <w:numId w:val="1017"/>
        </w:numPr>
      </w:pPr>
      <w:r>
        <w:t xml:space="preserve">Revenue and EPS exceed the upper end of consensus.</w:t>
      </w:r>
    </w:p>
    <w:p>
      <w:pPr>
        <w:pStyle w:val="Compact"/>
        <w:numPr>
          <w:ilvl w:val="0"/>
          <w:numId w:val="1017"/>
        </w:numPr>
      </w:pPr>
      <w:r>
        <w:t xml:space="preserve">Power &amp; Energy maintains strong growth and backlog expands.</w:t>
      </w:r>
    </w:p>
    <w:p>
      <w:pPr>
        <w:pStyle w:val="Compact"/>
        <w:numPr>
          <w:ilvl w:val="0"/>
          <w:numId w:val="1017"/>
        </w:numPr>
      </w:pPr>
      <w:r>
        <w:t xml:space="preserve">Construction growth comes from end users rather than inventory.</w:t>
      </w:r>
    </w:p>
    <w:p>
      <w:pPr>
        <w:pStyle w:val="Compact"/>
        <w:numPr>
          <w:ilvl w:val="0"/>
          <w:numId w:val="1017"/>
        </w:numPr>
      </w:pPr>
      <w:r>
        <w:t xml:space="preserve">Resource margin rebounds.</w:t>
      </w:r>
    </w:p>
    <w:p>
      <w:pPr>
        <w:pStyle w:val="Compact"/>
        <w:numPr>
          <w:ilvl w:val="0"/>
          <w:numId w:val="1017"/>
        </w:numPr>
      </w:pPr>
      <w:r>
        <w:t xml:space="preserve">Tariff guidance is reduced or mitigation is ahead of plan.</w:t>
      </w:r>
    </w:p>
    <w:p>
      <w:pPr>
        <w:pStyle w:val="Compact"/>
        <w:numPr>
          <w:ilvl w:val="0"/>
          <w:numId w:val="1017"/>
        </w:numPr>
      </w:pPr>
      <w:r>
        <w:t xml:space="preserve">Full-year sales, margin or cash-flow expectations rise.</w:t>
      </w:r>
    </w:p>
    <w:bookmarkEnd w:id="32"/>
    <w:bookmarkStart w:id="33" w:name="base-case"/>
    <w:p>
      <w:pPr>
        <w:pStyle w:val="Heading3"/>
      </w:pPr>
      <w:r>
        <w:t xml:space="preserve">Base case</w:t>
      </w:r>
    </w:p>
    <w:p>
      <w:pPr>
        <w:pStyle w:val="Compact"/>
        <w:numPr>
          <w:ilvl w:val="0"/>
          <w:numId w:val="1018"/>
        </w:numPr>
      </w:pPr>
      <w:r>
        <w:t xml:space="preserve">CAT beats consensus modestly on volume and pricing.</w:t>
      </w:r>
    </w:p>
    <w:p>
      <w:pPr>
        <w:pStyle w:val="Compact"/>
        <w:numPr>
          <w:ilvl w:val="0"/>
          <w:numId w:val="1018"/>
        </w:numPr>
      </w:pPr>
      <w:r>
        <w:t xml:space="preserve">Power &amp; Energy remains strong but backlog growth normalizes.</w:t>
      </w:r>
    </w:p>
    <w:p>
      <w:pPr>
        <w:pStyle w:val="Compact"/>
        <w:numPr>
          <w:ilvl w:val="0"/>
          <w:numId w:val="1018"/>
        </w:numPr>
      </w:pPr>
      <w:r>
        <w:t xml:space="preserve">Construction and Resource results are acceptable.</w:t>
      </w:r>
    </w:p>
    <w:p>
      <w:pPr>
        <w:pStyle w:val="Compact"/>
        <w:numPr>
          <w:ilvl w:val="0"/>
          <w:numId w:val="1018"/>
        </w:numPr>
      </w:pPr>
      <w:r>
        <w:t xml:space="preserve">Full-year guidance is reiterated.</w:t>
      </w:r>
    </w:p>
    <w:p>
      <w:pPr>
        <w:pStyle w:val="Compact"/>
        <w:numPr>
          <w:ilvl w:val="0"/>
          <w:numId w:val="1018"/>
        </w:numPr>
      </w:pPr>
      <w:r>
        <w:t xml:space="preserve">The stock reaction is mixed because much of the long-term data-center opportunity is already reflected in valuation.</w:t>
      </w:r>
    </w:p>
    <w:bookmarkEnd w:id="33"/>
    <w:bookmarkStart w:id="34" w:name="bear-case"/>
    <w:p>
      <w:pPr>
        <w:pStyle w:val="Heading3"/>
      </w:pPr>
      <w:r>
        <w:t xml:space="preserve">Bear case</w:t>
      </w:r>
    </w:p>
    <w:p>
      <w:pPr>
        <w:pStyle w:val="Compact"/>
        <w:numPr>
          <w:ilvl w:val="0"/>
          <w:numId w:val="1019"/>
        </w:numPr>
      </w:pPr>
      <w:r>
        <w:t xml:space="preserve">Power &amp; Energy revenue is solid but margins or new orders disappoint.</w:t>
      </w:r>
    </w:p>
    <w:p>
      <w:pPr>
        <w:pStyle w:val="Compact"/>
        <w:numPr>
          <w:ilvl w:val="0"/>
          <w:numId w:val="1019"/>
        </w:numPr>
      </w:pPr>
      <w:r>
        <w:t xml:space="preserve">Backlog falls materially or management highlights project delays.</w:t>
      </w:r>
    </w:p>
    <w:p>
      <w:pPr>
        <w:pStyle w:val="Compact"/>
        <w:numPr>
          <w:ilvl w:val="0"/>
          <w:numId w:val="1019"/>
        </w:numPr>
      </w:pPr>
      <w:r>
        <w:t xml:space="preserve">Construction end-user demand trails dealer expectations.</w:t>
      </w:r>
    </w:p>
    <w:p>
      <w:pPr>
        <w:pStyle w:val="Compact"/>
        <w:numPr>
          <w:ilvl w:val="0"/>
          <w:numId w:val="1019"/>
        </w:numPr>
      </w:pPr>
      <w:r>
        <w:t xml:space="preserve">Resource margins remain depressed.</w:t>
      </w:r>
    </w:p>
    <w:p>
      <w:pPr>
        <w:pStyle w:val="Compact"/>
        <w:numPr>
          <w:ilvl w:val="0"/>
          <w:numId w:val="1019"/>
        </w:numPr>
      </w:pPr>
      <w:r>
        <w:t xml:space="preserve">Tariff guidance rises or mitigation is delayed.</w:t>
      </w:r>
    </w:p>
    <w:p>
      <w:pPr>
        <w:pStyle w:val="Compact"/>
        <w:numPr>
          <w:ilvl w:val="0"/>
          <w:numId w:val="1019"/>
        </w:numPr>
      </w:pPr>
      <w:r>
        <w:t xml:space="preserve">Management maintains rather than raises its outlook despite the expected Q2 earnings growth.</w:t>
      </w:r>
    </w:p>
    <w:bookmarkEnd w:id="34"/>
    <w:bookmarkEnd w:id="35"/>
    <w:bookmarkStart w:id="36" w:name="overall-view"/>
    <w:p>
      <w:pPr>
        <w:pStyle w:val="Heading2"/>
      </w:pPr>
      <w:r>
        <w:t xml:space="preserve">Overall view</w:t>
      </w:r>
    </w:p>
    <w:p>
      <w:pPr>
        <w:pStyle w:val="FirstParagraph"/>
      </w:pPr>
      <w:r>
        <w:t xml:space="preserve">CAT appears positioned for another quarter of strong headline growth. The harder question is whether results can clear an elevated investor bar.</w:t>
      </w:r>
    </w:p>
    <w:p>
      <w:pPr>
        <w:pStyle w:val="BodyText"/>
      </w:pPr>
      <w:r>
        <w:t xml:space="preserve">The most important evidence will not be a few cents of EPS upside. It will be:</w:t>
      </w:r>
    </w:p>
    <w:p>
      <w:pPr>
        <w:pStyle w:val="Compact"/>
        <w:numPr>
          <w:ilvl w:val="0"/>
          <w:numId w:val="1020"/>
        </w:numPr>
      </w:pPr>
      <w:r>
        <w:rPr>
          <w:b/>
          <w:bCs/>
        </w:rPr>
        <w:t xml:space="preserve">Power &amp; Energy backlog quality and margin durability;</w:t>
      </w:r>
    </w:p>
    <w:p>
      <w:pPr>
        <w:pStyle w:val="Compact"/>
        <w:numPr>
          <w:ilvl w:val="0"/>
          <w:numId w:val="1020"/>
        </w:numPr>
      </w:pPr>
      <w:r>
        <w:rPr>
          <w:b/>
          <w:bCs/>
        </w:rPr>
        <w:t xml:space="preserve">Construction growth without dealer-inventory assistance;</w:t>
      </w:r>
    </w:p>
    <w:p>
      <w:pPr>
        <w:pStyle w:val="Compact"/>
        <w:numPr>
          <w:ilvl w:val="0"/>
          <w:numId w:val="1020"/>
        </w:numPr>
      </w:pPr>
      <w:r>
        <w:rPr>
          <w:b/>
          <w:bCs/>
        </w:rPr>
        <w:t xml:space="preserve">Resource Industries’ margin recovery;</w:t>
      </w:r>
    </w:p>
    <w:p>
      <w:pPr>
        <w:pStyle w:val="Compact"/>
        <w:numPr>
          <w:ilvl w:val="0"/>
          <w:numId w:val="1020"/>
        </w:numPr>
      </w:pPr>
      <w:r>
        <w:rPr>
          <w:b/>
          <w:bCs/>
        </w:rPr>
        <w:t xml:space="preserve">An updated tariff bridge; and</w:t>
      </w:r>
    </w:p>
    <w:p>
      <w:pPr>
        <w:pStyle w:val="Compact"/>
        <w:numPr>
          <w:ilvl w:val="0"/>
          <w:numId w:val="1020"/>
        </w:numPr>
      </w:pPr>
      <w:r>
        <w:rPr>
          <w:b/>
          <w:bCs/>
        </w:rPr>
        <w:t xml:space="preserve">Whether full-year guidance moves higher.</w:t>
      </w:r>
    </w:p>
    <w:p>
      <w:pPr>
        <w:pStyle w:val="FirstParagraph"/>
      </w:pPr>
      <w:r>
        <w:t xml:space="preserve">A broad-based beat with stronger guidance would reinforce the argument that Caterpillar is entering a structurally higher growth period. A narrow Power &amp; Energy-led beat with unchanged guidance may be insufficient to sustain the stock’s premium valuation.</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7" Target="https://investors.caterpillar.com/events-presentations/event-details/2026/1Q-2026-Caterpillar-Inc-Earnings-Conference-Call/default.aspx?utm_source=openai" TargetMode="External" /><Relationship Type="http://schemas.openxmlformats.org/officeDocument/2006/relationships/hyperlink" Id="rId9" Target="https://investors.caterpillar.com/news/news-details/2026/Caterpillar-Inc--to-Announce-Second-Quarter-2026-Financial-Results-on-August-4/default.aspx?utm_source=openai" TargetMode="External" /><Relationship Type="http://schemas.openxmlformats.org/officeDocument/2006/relationships/hyperlink" Id="rId23" Target="https://www.caterpillar.com/en/news/corporate-press-releases/h/072026-mining-technology-expansion.html?utm_source=openai" TargetMode="External" /><Relationship Type="http://schemas.openxmlformats.org/officeDocument/2006/relationships/hyperlink" Id="rId18" Target="https://www.caterpillar.com/en/news/corporate-press-releases/h/pro-pwr-agreement.html?utm_source=openai" TargetMode="External" /><Relationship Type="http://schemas.openxmlformats.org/officeDocument/2006/relationships/hyperlink" Id="rId26" Target="https://www.internationaltradeinsights.com/2026/05/the-court-of-international-trade-rules-section-122-tariffs-unlawful-but-limits-relief-to-exclusive-importers/?utm_source=openai" TargetMode="External" /><Relationship Type="http://schemas.openxmlformats.org/officeDocument/2006/relationships/hyperlink" Id="rId12" Target="https://www.kiplinger.com/investing/stocks/17494/next-week-earnings-calendar-stocks?utm_source=openai" TargetMode="External" /><Relationship Type="http://schemas.openxmlformats.org/officeDocument/2006/relationships/hyperlink" Id="rId10" Target="https://www.marketbeat.com/stocks/NYSE/CAT/earnings/?utm_source=openai" TargetMode="External" /><Relationship Type="http://schemas.openxmlformats.org/officeDocument/2006/relationships/hyperlink" Id="rId16" Target="https://www.sec.gov/Archives/edgar/data/18230/000001823026000013/cat-20260326.htm?utm_source=openai" TargetMode="External" /><Relationship Type="http://schemas.openxmlformats.org/officeDocument/2006/relationships/hyperlink" Id="rId13" Target="https://www.sec.gov/Archives/edgar/data/18230/000001823026000021/cat-20260331.htm" TargetMode="External" /></Relationships>
</file>

<file path=word/_rels/footnotes.xml.rels><?xml version="1.0" encoding="UTF-8"?><Relationships xmlns="http://schemas.openxmlformats.org/package/2006/relationships"><Relationship Type="http://schemas.openxmlformats.org/officeDocument/2006/relationships/hyperlink" Id="rId27" Target="https://investors.caterpillar.com/events-presentations/event-details/2026/1Q-2026-Caterpillar-Inc-Earnings-Conference-Call/default.aspx?utm_source=openai" TargetMode="External" /><Relationship Type="http://schemas.openxmlformats.org/officeDocument/2006/relationships/hyperlink" Id="rId9" Target="https://investors.caterpillar.com/news/news-details/2026/Caterpillar-Inc--to-Announce-Second-Quarter-2026-Financial-Results-on-August-4/default.aspx?utm_source=openai" TargetMode="External" /><Relationship Type="http://schemas.openxmlformats.org/officeDocument/2006/relationships/hyperlink" Id="rId23" Target="https://www.caterpillar.com/en/news/corporate-press-releases/h/072026-mining-technology-expansion.html?utm_source=openai" TargetMode="External" /><Relationship Type="http://schemas.openxmlformats.org/officeDocument/2006/relationships/hyperlink" Id="rId18" Target="https://www.caterpillar.com/en/news/corporate-press-releases/h/pro-pwr-agreement.html?utm_source=openai" TargetMode="External" /><Relationship Type="http://schemas.openxmlformats.org/officeDocument/2006/relationships/hyperlink" Id="rId26" Target="https://www.internationaltradeinsights.com/2026/05/the-court-of-international-trade-rules-section-122-tariffs-unlawful-but-limits-relief-to-exclusive-importers/?utm_source=openai" TargetMode="External" /><Relationship Type="http://schemas.openxmlformats.org/officeDocument/2006/relationships/hyperlink" Id="rId12" Target="https://www.kiplinger.com/investing/stocks/17494/next-week-earnings-calendar-stocks?utm_source=openai" TargetMode="External" /><Relationship Type="http://schemas.openxmlformats.org/officeDocument/2006/relationships/hyperlink" Id="rId10" Target="https://www.marketbeat.com/stocks/NYSE/CAT/earnings/?utm_source=openai" TargetMode="External" /><Relationship Type="http://schemas.openxmlformats.org/officeDocument/2006/relationships/hyperlink" Id="rId16" Target="https://www.sec.gov/Archives/edgar/data/18230/000001823026000013/cat-20260326.htm?utm_source=openai" TargetMode="External" /><Relationship Type="http://schemas.openxmlformats.org/officeDocument/2006/relationships/hyperlink" Id="rId13" Target="https://www.sec.gov/Archives/edgar/data/18230/000001823026000021/cat-2026033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2026-08-04T00:43:49Z</dcterms:created>
  <dcterms:modified xsi:type="dcterms:W3CDTF">2026-08-04T00:43:49Z</dcterms:modified>
</cp:coreProperties>
</file>

<file path=docProps/custom.xml><?xml version="1.0" encoding="utf-8"?>
<Properties xmlns="http://schemas.openxmlformats.org/officeDocument/2006/custom-properties" xmlns:vt="http://schemas.openxmlformats.org/officeDocument/2006/docPropsVTypes"/>
</file>