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9" w:name="cat-earnings-predictions--2026-08-04"/>
    <w:p>
      <w:pPr>
        <w:pStyle w:val="Heading1"/>
      </w:pPr>
      <w:r>
        <w:t xml:space="preserve">CAT Earnings Predictions — 2026-08-04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1320"/>
        <w:gridCol w:w="1320"/>
        <w:gridCol w:w="1320"/>
        <w:gridCol w:w="1320"/>
        <w:gridCol w:w="1320"/>
        <w:gridCol w:w="132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Ticker</w:t>
            </w:r>
          </w:p>
        </w:tc>
        <w:tc>
          <w:tcPr/>
          <w:p>
            <w:pPr>
              <w:pStyle w:val="Compact"/>
            </w:pPr>
            <w:r>
              <w:t xml:space="preserve">Report or Guide</w:t>
            </w:r>
          </w:p>
        </w:tc>
        <w:tc>
          <w:tcPr/>
          <w:p>
            <w:pPr>
              <w:pStyle w:val="Compact"/>
            </w:pPr>
            <w:r>
              <w:t xml:space="preserve">KPI</w:t>
            </w:r>
          </w:p>
        </w:tc>
        <w:tc>
          <w:tcPr/>
          <w:p>
            <w:pPr>
              <w:pStyle w:val="Compact"/>
            </w:pPr>
            <w:r>
              <w:t xml:space="preserve">Prediction</w:t>
            </w:r>
          </w:p>
        </w:tc>
        <w:tc>
          <w:tcPr/>
          <w:p>
            <w:pPr>
              <w:pStyle w:val="Compact"/>
            </w:pPr>
            <w:r>
              <w:t xml:space="preserve">Answer</w:t>
            </w:r>
          </w:p>
        </w:tc>
        <w:tc>
          <w:tcPr/>
          <w:p>
            <w:pPr>
              <w:pStyle w:val="Compact"/>
            </w:pPr>
            <w:r>
              <w:t xml:space="preserve">Confidence</w:t>
            </w:r>
          </w:p>
        </w:tc>
      </w:tr>
      <w:tr>
        <w:tc>
          <w:tcPr/>
          <w:p>
            <w:pPr>
              <w:pStyle w:val="Compact"/>
            </w:pPr>
            <w:r>
              <w:t xml:space="preserve">CAT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Adjusted EPS</w:t>
            </w:r>
          </w:p>
        </w:tc>
        <w:tc>
          <w:tcPr/>
          <w:p>
            <w:pPr>
              <w:pStyle w:val="Compact"/>
            </w:pPr>
            <w:r>
              <w:t xml:space="preserve">BEAT</w:t>
            </w:r>
          </w:p>
        </w:tc>
        <w:tc>
          <w:tcPr/>
          <w:p>
            <w:pPr>
              <w:pStyle w:val="Compact"/>
            </w:pPr>
            <w:r>
              <w:t xml:space="preserve">pred ~$6.40 vs. cons $6.25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CAT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Sales and revenues</w:t>
            </w:r>
          </w:p>
        </w:tc>
        <w:tc>
          <w:tcPr/>
          <w:p>
            <w:pPr>
              <w:pStyle w:val="Compact"/>
            </w:pPr>
            <w:r>
              <w:t xml:space="preserve">BEAT</w:t>
            </w:r>
          </w:p>
        </w:tc>
        <w:tc>
          <w:tcPr/>
          <w:p>
            <w:pPr>
              <w:pStyle w:val="Compact"/>
            </w:pPr>
            <w:r>
              <w:t xml:space="preserve">pred ~$19.45B vs. cons $19.20B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CAT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Power &amp; Energy sales</w:t>
            </w:r>
          </w:p>
        </w:tc>
        <w:tc>
          <w:tcPr/>
          <w:p>
            <w:pPr>
              <w:pStyle w:val="Compact"/>
            </w:pPr>
            <w:r>
              <w:t xml:space="preserve">BEAT</w:t>
            </w:r>
          </w:p>
        </w:tc>
        <w:tc>
          <w:tcPr/>
          <w:p>
            <w:pPr>
              <w:pStyle w:val="Compact"/>
            </w:pPr>
            <w:r>
              <w:t xml:space="preserve">pred ~$8.20B vs. cons $7.95B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CAT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FY2026 sales and revenues outlook</w:t>
            </w:r>
          </w:p>
        </w:tc>
        <w:tc>
          <w:tcPr/>
          <w:p>
            <w:pPr>
              <w:pStyle w:val="Compact"/>
            </w:pPr>
            <w:r>
              <w:t xml:space="preserve">BETTER</w:t>
            </w:r>
          </w:p>
        </w:tc>
        <w:tc>
          <w:tcPr/>
          <w:p>
            <w:pPr>
              <w:pStyle w:val="Compact"/>
            </w:pPr>
            <w:r>
              <w:t xml:space="preserve">guide ~$68.20B vs. cons $67.60B (FY2026)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CAT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FY2026 adjusted operating margin outlook</w:t>
            </w:r>
          </w:p>
        </w:tc>
        <w:tc>
          <w:tcPr/>
          <w:p>
            <w:pPr>
              <w:pStyle w:val="Compact"/>
            </w:pPr>
            <w:r>
              <w:t xml:space="preserve">BETTER</w:t>
            </w:r>
          </w:p>
        </w:tc>
        <w:tc>
          <w:tcPr/>
          <w:p>
            <w:pPr>
              <w:pStyle w:val="Compact"/>
            </w:pPr>
            <w:r>
              <w:t xml:space="preserve">guide ~18.6% vs. cons 18.5% (FY2026)</w:t>
            </w:r>
          </w:p>
        </w:tc>
        <w:tc>
          <w:tcPr/>
          <w:p>
            <w:pPr>
              <w:pStyle w:val="Compact"/>
            </w:pPr>
            <w:r>
              <w:t xml:space="preserve">LOW</w:t>
            </w:r>
          </w:p>
        </w:tc>
      </w:tr>
      <w:tr>
        <w:tc>
          <w:tcPr/>
          <w:p>
            <w:pPr>
              <w:pStyle w:val="Compact"/>
            </w:pPr>
            <w:r>
              <w:t xml:space="preserve">CAT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MP&amp;E free-cash-flow outlook</w:t>
            </w:r>
          </w:p>
        </w:tc>
        <w:tc>
          <w:tcPr/>
          <w:p>
            <w:pPr>
              <w:pStyle w:val="Compact"/>
            </w:pPr>
            <w:r>
              <w:t xml:space="preserve">LOWER</w:t>
            </w:r>
          </w:p>
        </w:tc>
        <w:tc>
          <w:tcPr/>
          <w:p>
            <w:pPr>
              <w:pStyle w:val="Compact"/>
            </w:pPr>
            <w:r>
              <w:t xml:space="preserve">guide ~$10.00B vs. cons $10.80B (FY2026)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CAT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Tariff-cost outlook</w:t>
            </w:r>
          </w:p>
        </w:tc>
        <w:tc>
          <w:tcPr/>
          <w:p>
            <w:pPr>
              <w:pStyle w:val="Compact"/>
            </w:pPr>
            <w:r>
              <w:t xml:space="preserve">UNCHANGED</w:t>
            </w:r>
          </w:p>
        </w:tc>
        <w:tc>
          <w:tcPr/>
          <w:p>
            <w:pPr>
              <w:pStyle w:val="Compact"/>
            </w:pPr>
            <w:r>
              <w:t xml:space="preserve">guide ~$2.30B vs. cons $2.30B (FY2026)</w:t>
            </w:r>
          </w:p>
        </w:tc>
        <w:tc>
          <w:tcPr/>
          <w:p>
            <w:pPr>
              <w:pStyle w:val="Compact"/>
            </w:pPr>
            <w:r>
              <w:t xml:space="preserve">HIGH</w:t>
            </w:r>
          </w:p>
        </w:tc>
      </w:tr>
      <w:tr>
        <w:tc>
          <w:tcPr/>
          <w:p>
            <w:pPr>
              <w:pStyle w:val="Compact"/>
            </w:pPr>
            <w:r>
              <w:t xml:space="preserve">CAT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Total backlog / Power &amp; Energy demand commentary</w:t>
            </w:r>
          </w:p>
        </w:tc>
        <w:tc>
          <w:tcPr/>
          <w:p>
            <w:pPr>
              <w:pStyle w:val="Compact"/>
            </w:pPr>
            <w:r>
              <w:t xml:space="preserve">BETTER</w:t>
            </w:r>
          </w:p>
        </w:tc>
        <w:tc>
          <w:tcPr/>
          <w:p>
            <w:pPr>
              <w:pStyle w:val="Compact"/>
            </w:pPr>
            <w:r>
              <w:t xml:space="preserve">guide ~$69.00B vs. cons $67.00B (2Q2026 exit)</w:t>
            </w:r>
          </w:p>
        </w:tc>
        <w:tc>
          <w:tcPr/>
          <w:p>
            <w:pPr>
              <w:pStyle w:val="Compact"/>
            </w:pPr>
            <w:r>
              <w:t xml:space="preserve">LOW</w:t>
            </w:r>
          </w:p>
        </w:tc>
      </w:tr>
      <w:tr>
        <w:tc>
          <w:tcPr/>
          <w:p>
            <w:pPr>
              <w:pStyle w:val="Compact"/>
            </w:pPr>
            <w:r>
              <w:t xml:space="preserve">CAT</w:t>
            </w:r>
          </w:p>
        </w:tc>
        <w:tc>
          <w:tcPr/>
          <w:p>
            <w:pPr>
              <w:pStyle w:val="Compact"/>
            </w:pPr>
            <w:r>
              <w:t xml:space="preserve">Return</w:t>
            </w:r>
          </w:p>
        </w:tc>
        <w:tc>
          <w:tcPr/>
          <w:p>
            <w:pPr>
              <w:pStyle w:val="Compact"/>
            </w:pPr>
            <w:r>
              <w:t xml:space="preserve">Day-1 residual (stock − beta × S&amp;P 500)</w:t>
            </w:r>
          </w:p>
        </w:tc>
        <w:tc>
          <w:tcPr/>
          <w:p>
            <w:pPr>
              <w:pStyle w:val="Compact"/>
            </w:pPr>
            <w:r>
              <w:t xml:space="preserve">+3.0%</w:t>
            </w:r>
          </w:p>
        </w:tc>
        <w:tc>
          <w:tcPr/>
          <w:p>
            <w:pPr>
              <w:pStyle w:val="Compact"/>
            </w:pPr>
            <w:r>
              <w:t xml:space="preserve">—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CAT</w:t>
            </w:r>
          </w:p>
        </w:tc>
        <w:tc>
          <w:tcPr/>
          <w:p>
            <w:pPr>
              <w:pStyle w:val="Compact"/>
            </w:pPr>
            <w:r>
              <w:t xml:space="preserve">Return</w:t>
            </w:r>
          </w:p>
        </w:tc>
        <w:tc>
          <w:tcPr/>
          <w:p>
            <w:pPr>
              <w:pStyle w:val="Compact"/>
            </w:pPr>
            <w:r>
              <w:t xml:space="preserve">5-day cumulative residual</w:t>
            </w:r>
          </w:p>
        </w:tc>
        <w:tc>
          <w:tcPr/>
          <w:p>
            <w:pPr>
              <w:pStyle w:val="Compact"/>
            </w:pPr>
            <w:r>
              <w:t xml:space="preserve">+1.0% (FADE)</w:t>
            </w:r>
          </w:p>
        </w:tc>
        <w:tc>
          <w:tcPr/>
          <w:p>
            <w:pPr>
              <w:pStyle w:val="Compact"/>
            </w:pPr>
            <w:r>
              <w:t xml:space="preserve">A ~$0.15 EPS beat versus</w:t>
            </w:r>
            <w:r>
              <w:t xml:space="preserve"> </w:t>
            </w:r>
            <w:r>
              <w:t xml:space="preserve">$6.25 consensus and Power &amp; Energy strength should support an initial positive reaction, but the implied FY2026 free-cash-flow outlook of ~$</w:t>
            </w:r>
            <w:r>
              <w:t xml:space="preserve">10.00B versus $10.80B consensus and only modest full-year margin uplift leave limited out-period EPS-revision support after the first-day move.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</w:tbl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2026-08-04T00:42:13Z</dcterms:created>
  <dcterms:modified xsi:type="dcterms:W3CDTF">2026-08-04T00:42:13Z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