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caterpillar-cat-2q26-earnings-preview"/>
    <w:p>
      <w:pPr>
        <w:pStyle w:val="Heading1"/>
      </w:pPr>
      <w:r>
        <w:t xml:space="preserve">Caterpillar (CAT) 2Q26 Earnings Preview</w:t>
      </w:r>
    </w:p>
    <w:p>
      <w:pPr>
        <w:pStyle w:val="BlockText"/>
      </w:pPr>
      <w:r>
        <w:rPr>
          <w:b/>
          <w:bCs/>
        </w:rPr>
        <w:t xml:space="preserve">Timing correction:</w:t>
      </w:r>
      <w:r>
        <w:t xml:space="preserve"> </w:t>
      </w:r>
      <w:r>
        <w:t xml:space="preserve">Caterpillar is scheduled to release 2Q26 results</w:t>
      </w:r>
      <w:r>
        <w:t xml:space="preserve"> </w:t>
      </w:r>
      <w:r>
        <w:rPr>
          <w:b/>
          <w:bCs/>
        </w:rPr>
        <w:t xml:space="preserve">today, Tuesday, August 4, 2026</w:t>
      </w:r>
      <w:r>
        <w:t xml:space="preserve">, at</w:t>
      </w:r>
      <w:r>
        <w:t xml:space="preserve"> </w:t>
      </w:r>
      <w:r>
        <w:rPr>
          <w:b/>
          <w:bCs/>
        </w:rPr>
        <w:t xml:space="preserve">5:30 a.m. CDT</w:t>
      </w:r>
      <w:r>
        <w:t xml:space="preserve">, followed by its analyst call at</w:t>
      </w:r>
      <w:r>
        <w:t xml:space="preserve"> </w:t>
      </w:r>
      <w:r>
        <w:rPr>
          <w:b/>
          <w:bCs/>
        </w:rPr>
        <w:t xml:space="preserve">7:30 a.m. CDT</w:t>
      </w:r>
      <w:r>
        <w:t xml:space="preserve">—not tomorrow. This preview reflects the setup going into that release.</w:t>
      </w:r>
    </w:p>
    <w:bookmarkStart w:id="9" w:name="X1f778f699db9b337804f114e45094ef4104fd9a"/>
    <w:p>
      <w:pPr>
        <w:pStyle w:val="Heading2"/>
      </w:pPr>
      <w:r>
        <w:t xml:space="preserve">Investment view: the report is about validating the growth narrative—not merely beating estimates</w:t>
      </w:r>
    </w:p>
    <w:p>
      <w:pPr>
        <w:pStyle w:val="FirstParagraph"/>
      </w:pPr>
      <w:r>
        <w:t xml:space="preserve">CAT enters 2Q26 with unusually strong operating momentum, a record order book, and a stock whose valuation increasingly reflects its role in supplying power equipment to data-center buildouts. The central question is whether the company can demonstrate that its</w:t>
      </w:r>
      <w:r>
        <w:t xml:space="preserve"> </w:t>
      </w:r>
      <w:r>
        <w:rPr>
          <w:b/>
          <w:bCs/>
        </w:rPr>
        <w:t xml:space="preserve">Power &amp; Energy growth, particularly large-engine demand for prime and backup power, remains durable enough to support its elevated multiyear outlook</w:t>
      </w:r>
      <w:r>
        <w:t xml:space="preserve">.</w:t>
      </w:r>
    </w:p>
    <w:p>
      <w:pPr>
        <w:pStyle w:val="BodyText"/>
      </w:pPr>
      <w:r>
        <w:t xml:space="preserve">The near-term earnings setup is favorable on reported growth because 2Q25 was a relatively weak comparison period. But the bar for the stock is higher than the bar for the income statement: investors will likely focus most heavily on</w:t>
      </w:r>
      <w:r>
        <w:t xml:space="preserve"> </w:t>
      </w:r>
      <w:r>
        <w:rPr>
          <w:b/>
          <w:bCs/>
        </w:rPr>
        <w:t xml:space="preserve">Power &amp; Energy orders/backlog, the credibility of data-center demand, tariff-cost containment, Resource Industries margin progression, and whether management’s full-year outlook still has room to move higher</w:t>
      </w:r>
      <w:r>
        <w:t xml:space="preserve">.</w:t>
      </w:r>
    </w:p>
    <w:p>
      <w:pPr>
        <w:pStyle w:val="BodyText"/>
      </w:pPr>
      <w:r>
        <w:t xml:space="preserve">CAT closed August 3 at</w:t>
      </w:r>
      <w:r>
        <w:t xml:space="preserve"> </w:t>
      </w:r>
      <w:r>
        <w:rPr>
          <w:b/>
          <w:bCs/>
        </w:rPr>
        <w:t xml:space="preserve">$830.07</w:t>
      </w:r>
      <w:r>
        <w:t xml:space="preserve">, up about</w:t>
      </w:r>
      <w:r>
        <w:t xml:space="preserve"> </w:t>
      </w:r>
      <w:r>
        <w:rPr>
          <w:b/>
          <w:bCs/>
        </w:rPr>
        <w:t xml:space="preserve">91% year over year</w:t>
      </w:r>
      <w:r>
        <w:t xml:space="preserve">, but roughly</w:t>
      </w:r>
      <w:r>
        <w:t xml:space="preserve"> </w:t>
      </w:r>
      <w:r>
        <w:rPr>
          <w:b/>
          <w:bCs/>
        </w:rPr>
        <w:t xml:space="preserve">22% below</w:t>
      </w:r>
      <w:r>
        <w:t xml:space="preserve"> </w:t>
      </w:r>
      <w:r>
        <w:t xml:space="preserve">its June 30 closing high of $1,064.90. That pullback reflects recent concern that data-center investment and permitting could slow, not a deterioration in CAT’s reported fundamentals.</w:t>
      </w:r>
    </w:p>
    <w:p>
      <w:r>
        <w:pict>
          <v:rect style="width:0;height:1.5pt" o:hralign="center" o:hrstd="t" o:hr="t"/>
        </w:pict>
      </w:r>
    </w:p>
    <w:bookmarkEnd w:id="9"/>
    <w:bookmarkStart w:id="10" w:name="X0fa5f0763648d064d84cfe60c8a4655ad237957"/>
    <w:p>
      <w:pPr>
        <w:pStyle w:val="Heading2"/>
      </w:pPr>
      <w:r>
        <w:t xml:space="preserve">What management has already told investors to expect</w:t>
      </w:r>
    </w:p>
    <w:p>
      <w:pPr>
        <w:pStyle w:val="FirstParagraph"/>
      </w:pPr>
      <w:r>
        <w:t xml:space="preserve">At the 1Q26 call, management guided to:</w:t>
      </w:r>
    </w:p>
    <w:p>
      <w:pPr>
        <w:pStyle w:val="Compact"/>
        <w:numPr>
          <w:ilvl w:val="0"/>
          <w:numId w:val="1001"/>
        </w:numPr>
      </w:pPr>
      <w:r>
        <w:rPr>
          <w:b/>
          <w:bCs/>
        </w:rPr>
        <w:t xml:space="preserve">Strong year-over-year sales growth in all three primary segments</w:t>
      </w:r>
      <w:r>
        <w:t xml:space="preserve"> </w:t>
      </w:r>
      <w:r>
        <w:t xml:space="preserve">during 2Q.</w:t>
      </w:r>
    </w:p>
    <w:p>
      <w:pPr>
        <w:pStyle w:val="Compact"/>
        <w:numPr>
          <w:ilvl w:val="0"/>
          <w:numId w:val="1001"/>
        </w:numPr>
      </w:pPr>
      <w:r>
        <w:rPr>
          <w:b/>
          <w:bCs/>
        </w:rPr>
        <w:t xml:space="preserve">Power &amp; Energy:</w:t>
      </w:r>
      <w:r>
        <w:t xml:space="preserve"> </w:t>
      </w:r>
      <w:r>
        <w:t xml:space="preserve">strong growth, driven by power generation and oil &amp; gas, plus favorable price.</w:t>
      </w:r>
    </w:p>
    <w:p>
      <w:pPr>
        <w:pStyle w:val="Compact"/>
        <w:numPr>
          <w:ilvl w:val="0"/>
          <w:numId w:val="1001"/>
        </w:numPr>
      </w:pPr>
      <w:r>
        <w:rPr>
          <w:b/>
          <w:bCs/>
        </w:rPr>
        <w:t xml:space="preserve">Construction Industries:</w:t>
      </w:r>
      <w:r>
        <w:t xml:space="preserve"> </w:t>
      </w:r>
      <w:r>
        <w:t xml:space="preserve">strong sales growth, supported by end-user demand and backlog; unlike 1Q, management expected only a</w:t>
      </w:r>
      <w:r>
        <w:t xml:space="preserve"> </w:t>
      </w:r>
      <w:r>
        <w:rPr>
          <w:b/>
          <w:bCs/>
        </w:rPr>
        <w:t xml:space="preserve">minimal dealer-inventory change</w:t>
      </w:r>
      <w:r>
        <w:t xml:space="preserve">.</w:t>
      </w:r>
    </w:p>
    <w:p>
      <w:pPr>
        <w:pStyle w:val="Compact"/>
        <w:numPr>
          <w:ilvl w:val="0"/>
          <w:numId w:val="1001"/>
        </w:numPr>
      </w:pPr>
      <w:r>
        <w:rPr>
          <w:b/>
          <w:bCs/>
        </w:rPr>
        <w:t xml:space="preserve">Resource Industries:</w:t>
      </w:r>
      <w:r>
        <w:t xml:space="preserve"> </w:t>
      </w:r>
      <w:r>
        <w:t xml:space="preserve">strong sales growth led by end-user demand and favorable geographic mix, but a</w:t>
      </w:r>
      <w:r>
        <w:t xml:space="preserve"> </w:t>
      </w:r>
      <w:r>
        <w:rPr>
          <w:b/>
          <w:bCs/>
        </w:rPr>
        <w:t xml:space="preserve">lower year-over-year margin</w:t>
      </w:r>
      <w:r>
        <w:t xml:space="preserve"> </w:t>
      </w:r>
      <w:r>
        <w:t xml:space="preserve">due to manufacturing costs and increased technology/autonomy investment.</w:t>
      </w:r>
    </w:p>
    <w:p>
      <w:pPr>
        <w:pStyle w:val="Compact"/>
        <w:numPr>
          <w:ilvl w:val="0"/>
          <w:numId w:val="1001"/>
        </w:numPr>
      </w:pPr>
      <w:r>
        <w:rPr>
          <w:b/>
          <w:bCs/>
        </w:rPr>
        <w:t xml:space="preserve">Enterprise margin:</w:t>
      </w:r>
      <w:r>
        <w:t xml:space="preserve"> </w:t>
      </w:r>
      <w:r>
        <w:t xml:space="preserve">higher year over year despite tariffs.</w:t>
      </w:r>
    </w:p>
    <w:p>
      <w:pPr>
        <w:pStyle w:val="Compact"/>
        <w:numPr>
          <w:ilvl w:val="0"/>
          <w:numId w:val="1001"/>
        </w:numPr>
      </w:pPr>
      <w:r>
        <w:rPr>
          <w:b/>
          <w:bCs/>
        </w:rPr>
        <w:t xml:space="preserve">Tariff costs:</w:t>
      </w:r>
      <w:r>
        <w:t xml:space="preserve"> </w:t>
      </w:r>
      <w:r>
        <w:t xml:space="preserve">approximately</w:t>
      </w:r>
      <w:r>
        <w:t xml:space="preserve"> </w:t>
      </w:r>
      <m:oMath>
        <m:r>
          <m:t>700</m:t>
        </m:r>
        <m:r>
          <m:t>m</m:t>
        </m:r>
        <m:r>
          <m:t>i</m:t>
        </m:r>
        <m:r>
          <m:t>l</m:t>
        </m:r>
        <m:r>
          <m:t>l</m:t>
        </m:r>
        <m:r>
          <m:t>i</m:t>
        </m:r>
        <m:r>
          <m:t>o</m:t>
        </m:r>
        <m:r>
          <m:t>n</m:t>
        </m:r>
        <m:r>
          <m:t>i</m:t>
        </m:r>
        <m:r>
          <m:t>n</m:t>
        </m:r>
        <m:r>
          <m:t>2</m:t>
        </m:r>
        <m:r>
          <m:t>Q</m:t>
        </m:r>
        <m:r>
          <m:t>26</m:t>
        </m:r>
        <m:r>
          <m:rPr>
            <m:sty m:val="p"/>
          </m:rPr>
          <m:t>*</m:t>
        </m:r>
        <m:r>
          <m:rPr>
            <m:sty m:val="p"/>
          </m:rPr>
          <m:t>*</m:t>
        </m:r>
        <m:r>
          <m:rPr>
            <m:sty m:val="p"/>
          </m:rPr>
          <m:t>,</m:t>
        </m:r>
        <m:r>
          <m:t>v</m:t>
        </m:r>
        <m:r>
          <m:t>e</m:t>
        </m:r>
        <m:r>
          <m:t>r</m:t>
        </m:r>
        <m:r>
          <m:t>s</m:t>
        </m:r>
        <m:r>
          <m:t>u</m:t>
        </m:r>
        <m:r>
          <m:t>s</m:t>
        </m:r>
        <m:r>
          <m:t>r</m:t>
        </m:r>
        <m:r>
          <m:t>o</m:t>
        </m:r>
        <m:r>
          <m:t>u</m:t>
        </m:r>
        <m:r>
          <m:t>g</m:t>
        </m:r>
        <m:r>
          <m:t>h</m:t>
        </m:r>
        <m:r>
          <m:t>l</m:t>
        </m:r>
        <m:r>
          <m:t>y</m:t>
        </m:r>
        <m:r>
          <m:rPr>
            <m:sty m:val="p"/>
          </m:rPr>
          <m:t>*</m:t>
        </m:r>
        <m:r>
          <m:rPr>
            <m:sty m:val="p"/>
          </m:rPr>
          <m:t>*</m:t>
        </m:r>
      </m:oMath>
      <w:r>
        <w:rPr>
          <w:b/>
          <w:bCs/>
        </w:rPr>
        <w:t xml:space="preserve">400 million in 2Q25</w:t>
      </w:r>
      <w:r>
        <w:t xml:space="preserve">. Construction Industries was expected to bear about half of the cost, with Power &amp; Energy and Resource Industries each absorbing approximately one-quarter.</w:t>
      </w:r>
    </w:p>
    <w:p>
      <w:pPr>
        <w:pStyle w:val="FirstParagraph"/>
      </w:pPr>
      <w:r>
        <w:t xml:space="preserve">For the full year, CAT raised its outlook in April to</w:t>
      </w:r>
      <w:r>
        <w:t xml:space="preserve"> </w:t>
      </w:r>
      <w:r>
        <w:rPr>
          <w:b/>
          <w:bCs/>
        </w:rPr>
        <w:t xml:space="preserve">low-double-digit sales and revenue growth</w:t>
      </w:r>
      <w:r>
        <w:t xml:space="preserve">, with adjusted operating margin expected near the bottom of its target range after tariffs—but higher than management expected entering the year. It also expects Machinery, Power &amp; Energy free cash flow to exceed 2025’s $9.5 billion.</w:t>
      </w:r>
    </w:p>
    <w:p>
      <w:pPr>
        <w:pStyle w:val="BodyText"/>
      </w:pPr>
      <w:r>
        <w:rPr>
          <w:b/>
          <w:bCs/>
        </w:rPr>
        <w:t xml:space="preserve">Implication:</w:t>
      </w:r>
      <w:r>
        <w:t xml:space="preserve"> </w:t>
      </w:r>
      <w:r>
        <w:t xml:space="preserve">A result merely consistent with this framework should be operationally solid. For the stock to respond well, investors may need evidence of either</w:t>
      </w:r>
      <w:r>
        <w:t xml:space="preserve"> </w:t>
      </w:r>
      <w:r>
        <w:rPr>
          <w:b/>
          <w:bCs/>
        </w:rPr>
        <w:t xml:space="preserve">better-than-expected Power &amp; Energy demand/backlog</w:t>
      </w:r>
      <w:r>
        <w:t xml:space="preserve">,</w:t>
      </w:r>
      <w:r>
        <w:t xml:space="preserve"> </w:t>
      </w:r>
      <w:r>
        <w:rPr>
          <w:b/>
          <w:bCs/>
        </w:rPr>
        <w:t xml:space="preserve">tariff mitigation exceeding expectations</w:t>
      </w:r>
      <w:r>
        <w:t xml:space="preserve">, or an outlook that moves beyond a simple reaffirmation.</w:t>
      </w:r>
    </w:p>
    <w:p>
      <w:r>
        <w:pict>
          <v:rect style="width:0;height:1.5pt" o:hralign="center" o:hrstd="t" o:hr="t"/>
        </w:pict>
      </w:r>
    </w:p>
    <w:bookmarkEnd w:id="10"/>
    <w:bookmarkStart w:id="12" w:name="X721b4d3f943484f01806dfb751a5d721782c6f7"/>
    <w:p>
      <w:pPr>
        <w:pStyle w:val="Heading2"/>
      </w:pPr>
      <w:r>
        <w:t xml:space="preserve">The core debate: Power &amp; Energy and the data-center power opportunity</w:t>
      </w:r>
    </w:p>
    <w:p>
      <w:pPr>
        <w:pStyle w:val="FirstParagraph"/>
      </w:pPr>
      <w:r>
        <w:t xml:space="preserve">Power &amp; Energy is now CAT’s most important incremental-growth and sentiment driver.</w:t>
      </w:r>
    </w:p>
    <w:p>
      <w:pPr>
        <w:pStyle w:val="BodyText"/>
      </w:pPr>
      <w:r>
        <w:t xml:space="preserve">In 1Q26, Power &amp; Energy revenue rose</w:t>
      </w:r>
      <w:r>
        <w:t xml:space="preserve"> </w:t>
      </w:r>
      <w:r>
        <w:rPr>
          <w:b/>
          <w:bCs/>
        </w:rPr>
        <w:t xml:space="preserve">22% year over year to $7.0 billion</w:t>
      </w:r>
      <w:r>
        <w:t xml:space="preserve">, with power-generation sales up</w:t>
      </w:r>
      <w:r>
        <w:t xml:space="preserve"> </w:t>
      </w:r>
      <w:r>
        <w:rPr>
          <w:b/>
          <w:bCs/>
        </w:rPr>
        <w:t xml:space="preserve">41%</w:t>
      </w:r>
      <w:r>
        <w:t xml:space="preserve">, driven by large reciprocating engines and turbines used in data-center applications. Sales to end users in Power &amp; Energy rose</w:t>
      </w:r>
      <w:r>
        <w:t xml:space="preserve"> </w:t>
      </w:r>
      <w:r>
        <w:rPr>
          <w:b/>
          <w:bCs/>
        </w:rPr>
        <w:t xml:space="preserve">32%</w:t>
      </w:r>
      <w:r>
        <w:t xml:space="preserve">, and power-generation retail demand increased</w:t>
      </w:r>
      <w:r>
        <w:t xml:space="preserve"> </w:t>
      </w:r>
      <w:r>
        <w:rPr>
          <w:b/>
          <w:bCs/>
        </w:rPr>
        <w:t xml:space="preserve">48%</w:t>
      </w:r>
      <w:r>
        <w:t xml:space="preserve">. The segment’s 20.6% margin was healthy but down 170 basis points year over year, largely because of tariffs and capacity-expansion costs.</w:t>
      </w:r>
    </w:p>
    <w:p>
      <w:pPr>
        <w:pStyle w:val="BodyText"/>
      </w:pPr>
      <w:r>
        <w:t xml:space="preserve">The strategic evidence was even more important than the quarterly results:</w:t>
      </w:r>
    </w:p>
    <w:p>
      <w:pPr>
        <w:pStyle w:val="Compact"/>
        <w:numPr>
          <w:ilvl w:val="0"/>
          <w:numId w:val="1002"/>
        </w:numPr>
      </w:pPr>
      <w:r>
        <w:t xml:space="preserve">Total backlog reached a record</w:t>
      </w:r>
      <w:r>
        <w:t xml:space="preserve"> </w:t>
      </w:r>
      <w:r>
        <w:rPr>
          <w:b/>
          <w:bCs/>
        </w:rPr>
        <w:t xml:space="preserve">$63 billion</w:t>
      </w:r>
      <w:r>
        <w:t xml:space="preserve"> </w:t>
      </w:r>
      <w:r>
        <w:t xml:space="preserve">at the end of 1Q, up 79% year over year.</w:t>
      </w:r>
    </w:p>
    <w:p>
      <w:pPr>
        <w:pStyle w:val="Compact"/>
        <w:numPr>
          <w:ilvl w:val="0"/>
          <w:numId w:val="1002"/>
        </w:numPr>
      </w:pPr>
      <w:r>
        <w:t xml:space="preserve">CAT reported its sixth agreement involving at least one gigawatt of equipment for prime-power applications.</w:t>
      </w:r>
    </w:p>
    <w:p>
      <w:pPr>
        <w:pStyle w:val="Compact"/>
        <w:numPr>
          <w:ilvl w:val="0"/>
          <w:numId w:val="1002"/>
        </w:numPr>
      </w:pPr>
      <w:r>
        <w:t xml:space="preserve">The company increased its large reciprocating-engine capacity target from</w:t>
      </w:r>
      <w:r>
        <w:t xml:space="preserve"> </w:t>
      </w:r>
      <w:r>
        <w:rPr>
          <w:b/>
          <w:bCs/>
        </w:rPr>
        <w:t xml:space="preserve">2x to nearly 3x 2024 levels</w:t>
      </w:r>
      <w:r>
        <w:t xml:space="preserve">.</w:t>
      </w:r>
    </w:p>
    <w:p>
      <w:pPr>
        <w:pStyle w:val="Compact"/>
        <w:numPr>
          <w:ilvl w:val="0"/>
          <w:numId w:val="1002"/>
        </w:numPr>
      </w:pPr>
      <w:r>
        <w:t xml:space="preserve">Incremental capacity investment is expected principally in 2027–2029, with CAT targeting additional production as early as 2027.</w:t>
      </w:r>
    </w:p>
    <w:p>
      <w:pPr>
        <w:pStyle w:val="Compact"/>
        <w:numPr>
          <w:ilvl w:val="0"/>
          <w:numId w:val="1002"/>
        </w:numPr>
      </w:pPr>
      <w:r>
        <w:t xml:space="preserve">Management said customers are placing multiyear orders, with some extending into 2028.</w:t>
      </w:r>
    </w:p>
    <w:bookmarkStart w:id="11" w:name="what-to-watch-in-2q"/>
    <w:p>
      <w:pPr>
        <w:pStyle w:val="Heading3"/>
      </w:pPr>
      <w:r>
        <w:t xml:space="preserve">What to watch in 2Q</w:t>
      </w:r>
    </w:p>
    <w:p>
      <w:pPr>
        <w:numPr>
          <w:ilvl w:val="0"/>
          <w:numId w:val="1003"/>
        </w:numPr>
      </w:pPr>
      <w:r>
        <w:rPr>
          <w:b/>
          <w:bCs/>
        </w:rPr>
        <w:t xml:space="preserve">Order intake and backlog conversion.</w:t>
      </w:r>
      <w:r>
        <w:br/>
      </w:r>
      <w:r>
        <w:t xml:space="preserve">Investors will want proof that large-engine orders remain broad-based and are not slowing after a period of exceptional bookings.</w:t>
      </w:r>
    </w:p>
    <w:p>
      <w:pPr>
        <w:numPr>
          <w:ilvl w:val="0"/>
          <w:numId w:val="1003"/>
        </w:numPr>
      </w:pPr>
      <w:r>
        <w:rPr>
          <w:b/>
          <w:bCs/>
        </w:rPr>
        <w:t xml:space="preserve">Prime power versus backup power.</w:t>
      </w:r>
      <w:r>
        <w:br/>
      </w:r>
      <w:r>
        <w:t xml:space="preserve">Prime-power installations potentially offer more durable service and aftermarket revenue than standby applications. Commentary on mix, project architecture, gas availability, and turbine/reciprocating-engine demand will matter.</w:t>
      </w:r>
    </w:p>
    <w:p>
      <w:pPr>
        <w:numPr>
          <w:ilvl w:val="0"/>
          <w:numId w:val="1003"/>
        </w:numPr>
      </w:pPr>
      <w:r>
        <w:rPr>
          <w:b/>
          <w:bCs/>
        </w:rPr>
        <w:t xml:space="preserve">Capacity and supply-chain execution.</w:t>
      </w:r>
      <w:r>
        <w:br/>
      </w:r>
      <w:r>
        <w:t xml:space="preserve">CAT is adding capacity aggressively, but investors will monitor whether key suppliers can scale on schedule and whether incremental depreciation, labor, and start-up costs are becoming a larger margin drag.</w:t>
      </w:r>
    </w:p>
    <w:p>
      <w:pPr>
        <w:numPr>
          <w:ilvl w:val="0"/>
          <w:numId w:val="1003"/>
        </w:numPr>
      </w:pPr>
      <w:r>
        <w:rPr>
          <w:b/>
          <w:bCs/>
        </w:rPr>
        <w:t xml:space="preserve">Data-center concentration risk.</w:t>
      </w:r>
      <w:r>
        <w:br/>
      </w:r>
      <w:r>
        <w:t xml:space="preserve">Recent investor concerns have centered on permitting, local opposition, and the sustainability of hyperscaler capital spending. Management’s discussion of project timing, cancellations, customer commitments, and the breadth of demand beyond data centers will be closely scrutinized.</w:t>
      </w:r>
    </w:p>
    <w:p>
      <w:pPr>
        <w:pStyle w:val="FirstParagraph"/>
      </w:pPr>
      <w:r>
        <w:rPr>
          <w:b/>
          <w:bCs/>
        </w:rPr>
        <w:t xml:space="preserve">Bottom line:</w:t>
      </w:r>
      <w:r>
        <w:t xml:space="preserve"> </w:t>
      </w:r>
      <w:r>
        <w:t xml:space="preserve">Strong Power &amp; Energy revenue alone is unlikely to be enough. The key positive surprise would be a further increase in backlog, a constructive update on capacity timing, or evidence that prime-power demand is expanding without compromising pricing or returns.</w:t>
      </w:r>
    </w:p>
    <w:p>
      <w:r>
        <w:pict>
          <v:rect style="width:0;height:1.5pt" o:hralign="center" o:hrstd="t" o:hr="t"/>
        </w:pict>
      </w:r>
    </w:p>
    <w:bookmarkEnd w:id="11"/>
    <w:bookmarkEnd w:id="12"/>
    <w:bookmarkStart w:id="14" w:name="X635672f42b2f767e7cb1763d25f2c25624f28b1"/>
    <w:p>
      <w:pPr>
        <w:pStyle w:val="Heading2"/>
      </w:pPr>
      <w:r>
        <w:t xml:space="preserve">Construction Industries: strong demand must be separated from channel effects</w:t>
      </w:r>
    </w:p>
    <w:p>
      <w:pPr>
        <w:pStyle w:val="FirstParagraph"/>
      </w:pPr>
      <w:r>
        <w:t xml:space="preserve">Construction Industries was the largest contributor to CAT’s 1Q upside: sales increased</w:t>
      </w:r>
      <w:r>
        <w:t xml:space="preserve"> </w:t>
      </w:r>
      <w:r>
        <w:rPr>
          <w:b/>
          <w:bCs/>
        </w:rPr>
        <w:t xml:space="preserve">38%</w:t>
      </w:r>
      <w:r>
        <w:t xml:space="preserve"> </w:t>
      </w:r>
      <w:r>
        <w:t xml:space="preserve">year over year to</w:t>
      </w:r>
      <w:r>
        <w:t xml:space="preserve"> </w:t>
      </w:r>
      <m:oMath>
        <m:r>
          <m:t>7.2</m:t>
        </m:r>
        <m:r>
          <m:t>b</m:t>
        </m:r>
        <m:r>
          <m:t>i</m:t>
        </m:r>
        <m:r>
          <m:t>l</m:t>
        </m:r>
        <m:r>
          <m:t>l</m:t>
        </m:r>
        <m:r>
          <m:t>i</m:t>
        </m:r>
        <m:r>
          <m:t>o</m:t>
        </m:r>
        <m:r>
          <m:t>n</m:t>
        </m:r>
        <m:r>
          <m:rPr>
            <m:sty m:val="p"/>
          </m:rPr>
          <m:t>,</m:t>
        </m:r>
        <m:r>
          <m:t>w</m:t>
        </m:r>
        <m:r>
          <m:t>h</m:t>
        </m:r>
        <m:r>
          <m:t>i</m:t>
        </m:r>
        <m:r>
          <m:t>l</m:t>
        </m:r>
        <m:r>
          <m:t>e</m:t>
        </m:r>
        <m:r>
          <m:t>s</m:t>
        </m:r>
        <m:r>
          <m:t>e</m:t>
        </m:r>
        <m:r>
          <m:t>g</m:t>
        </m:r>
        <m:r>
          <m:t>m</m:t>
        </m:r>
        <m:r>
          <m:t>e</m:t>
        </m:r>
        <m:r>
          <m:t>n</m:t>
        </m:r>
        <m:r>
          <m:t>t</m:t>
        </m:r>
        <m:r>
          <m:t>m</m:t>
        </m:r>
        <m:r>
          <m:t>a</m:t>
        </m:r>
        <m:r>
          <m:t>r</m:t>
        </m:r>
        <m:r>
          <m:t>g</m:t>
        </m:r>
        <m:r>
          <m:t>i</m:t>
        </m:r>
        <m:r>
          <m:t>n</m:t>
        </m:r>
        <m:r>
          <m:t>e</m:t>
        </m:r>
        <m:r>
          <m:t>x</m:t>
        </m:r>
        <m:r>
          <m:t>p</m:t>
        </m:r>
        <m:r>
          <m:t>a</m:t>
        </m:r>
        <m:r>
          <m:t>n</m:t>
        </m:r>
        <m:r>
          <m:t>d</m:t>
        </m:r>
        <m:r>
          <m:t>e</m:t>
        </m:r>
        <m:r>
          <m:t>d</m:t>
        </m:r>
        <m:r>
          <m:t>160</m:t>
        </m:r>
        <m:r>
          <m:t>b</m:t>
        </m:r>
        <m:r>
          <m:t>a</m:t>
        </m:r>
        <m:r>
          <m:t>s</m:t>
        </m:r>
        <m:r>
          <m:t>i</m:t>
        </m:r>
        <m:r>
          <m:t>s</m:t>
        </m:r>
        <m:r>
          <m:t>p</m:t>
        </m:r>
        <m:r>
          <m:t>o</m:t>
        </m:r>
        <m:r>
          <m:t>i</m:t>
        </m:r>
        <m:r>
          <m:t>n</m:t>
        </m:r>
        <m:r>
          <m:t>t</m:t>
        </m:r>
        <m:r>
          <m:t>s</m:t>
        </m:r>
        <m:r>
          <m:t>t</m:t>
        </m:r>
        <m:r>
          <m:t>o</m:t>
        </m:r>
        <m:r>
          <m:rPr>
            <m:sty m:val="p"/>
          </m:rPr>
          <m:t>*</m:t>
        </m:r>
        <m:r>
          <m:rPr>
            <m:sty m:val="p"/>
          </m:rPr>
          <m:t>*</m:t>
        </m:r>
        <m:r>
          <m:t>21.4</m:t>
        </m:r>
      </m:oMath>
      <w:r>
        <w:t xml:space="preserve">1.5 billion seasonal dealer-inventory build**, while sales to end users increased a more modest—but still healthy—</w:t>
      </w:r>
      <w:r>
        <w:rPr>
          <w:b/>
          <w:bCs/>
        </w:rPr>
        <w:t xml:space="preserve">7%</w:t>
      </w:r>
      <w:r>
        <w:t xml:space="preserve">.</w:t>
      </w:r>
    </w:p>
    <w:p>
      <w:pPr>
        <w:pStyle w:val="BodyText"/>
      </w:pPr>
      <w:r>
        <w:t xml:space="preserve">That distinction makes 2Q particularly important. Management said it expected growth to come primarily from</w:t>
      </w:r>
      <w:r>
        <w:t xml:space="preserve"> </w:t>
      </w:r>
      <w:r>
        <w:rPr>
          <w:b/>
          <w:bCs/>
        </w:rPr>
        <w:t xml:space="preserve">higher sales to users</w:t>
      </w:r>
      <w:r>
        <w:t xml:space="preserve">, rather than another meaningful inventory build.</w:t>
      </w:r>
    </w:p>
    <w:bookmarkStart w:id="13" w:name="what-to-watch"/>
    <w:p>
      <w:pPr>
        <w:pStyle w:val="Heading3"/>
      </w:pPr>
      <w:r>
        <w:t xml:space="preserve">What to watch</w:t>
      </w:r>
    </w:p>
    <w:p>
      <w:pPr>
        <w:pStyle w:val="Compact"/>
        <w:numPr>
          <w:ilvl w:val="0"/>
          <w:numId w:val="1004"/>
        </w:numPr>
      </w:pPr>
      <w:r>
        <w:rPr>
          <w:b/>
          <w:bCs/>
        </w:rPr>
        <w:t xml:space="preserve">North American end-user demand:</w:t>
      </w:r>
      <w:r>
        <w:t xml:space="preserve"> </w:t>
      </w:r>
      <w:r>
        <w:t xml:space="preserve">nonresidential construction, infrastructure activity, dealer rental fleet loading, and rental revenue.</w:t>
      </w:r>
    </w:p>
    <w:p>
      <w:pPr>
        <w:pStyle w:val="Compact"/>
        <w:numPr>
          <w:ilvl w:val="0"/>
          <w:numId w:val="1004"/>
        </w:numPr>
      </w:pPr>
      <w:r>
        <w:rPr>
          <w:b/>
          <w:bCs/>
        </w:rPr>
        <w:t xml:space="preserve">Dealer inventories:</w:t>
      </w:r>
      <w:r>
        <w:t xml:space="preserve"> </w:t>
      </w:r>
      <w:r>
        <w:t xml:space="preserve">investors will want confirmation that 1Q channel stocking was appropriate and that dealers remain confident in downstream demand.</w:t>
      </w:r>
    </w:p>
    <w:p>
      <w:pPr>
        <w:pStyle w:val="Compact"/>
        <w:numPr>
          <w:ilvl w:val="0"/>
          <w:numId w:val="1004"/>
        </w:numPr>
      </w:pPr>
      <w:r>
        <w:rPr>
          <w:b/>
          <w:bCs/>
        </w:rPr>
        <w:t xml:space="preserve">Pricing and tariff recovery:</w:t>
      </w:r>
      <w:r>
        <w:t xml:space="preserve"> </w:t>
      </w:r>
      <w:r>
        <w:t xml:space="preserve">Construction faces the largest tariff burden, with roughly half of CAT’s expected 2Q tariff cost. The segment needs continued price, mix, volume, and manufacturing execution to protect margins.</w:t>
      </w:r>
    </w:p>
    <w:p>
      <w:pPr>
        <w:pStyle w:val="Compact"/>
        <w:numPr>
          <w:ilvl w:val="0"/>
          <w:numId w:val="1004"/>
        </w:numPr>
      </w:pPr>
      <w:r>
        <w:rPr>
          <w:b/>
          <w:bCs/>
        </w:rPr>
        <w:t xml:space="preserve">International cadence:</w:t>
      </w:r>
      <w:r>
        <w:t xml:space="preserve"> </w:t>
      </w:r>
      <w:r>
        <w:t xml:space="preserve">Europe was expected to remain stable, Africa strong, the Middle East softer, Asia-Pacific ex-China softer, and Latin America positive.</w:t>
      </w:r>
    </w:p>
    <w:p>
      <w:pPr>
        <w:pStyle w:val="FirstParagraph"/>
      </w:pPr>
      <w:r>
        <w:t xml:space="preserve">The constructive setup is that 2Q25 Construction revenue fell 7% and segment margin was 20.1%, creating an accessible comparison. The more meaningful signal will be whether CAT can sustain end-market growth while reducing reliance on dealer-inventory movements.</w:t>
      </w:r>
    </w:p>
    <w:p>
      <w:r>
        <w:pict>
          <v:rect style="width:0;height:1.5pt" o:hralign="center" o:hrstd="t" o:hr="t"/>
        </w:pict>
      </w:r>
    </w:p>
    <w:bookmarkEnd w:id="13"/>
    <w:bookmarkEnd w:id="14"/>
    <w:bookmarkStart w:id="16" w:name="X704106a3e7db65c1c380581235b5b93245b868b"/>
    <w:p>
      <w:pPr>
        <w:pStyle w:val="Heading2"/>
      </w:pPr>
      <w:r>
        <w:t xml:space="preserve">Resource Industries: the earnings-quality swing factor</w:t>
      </w:r>
    </w:p>
    <w:p>
      <w:pPr>
        <w:pStyle w:val="FirstParagraph"/>
      </w:pPr>
      <w:r>
        <w:t xml:space="preserve">Resource Industries is likely the most important potential source of both upside and disappointment.</w:t>
      </w:r>
    </w:p>
    <w:p>
      <w:pPr>
        <w:pStyle w:val="BodyText"/>
      </w:pPr>
      <w:r>
        <w:t xml:space="preserve">In 1Q26, segment sales rose only</w:t>
      </w:r>
      <w:r>
        <w:t xml:space="preserve"> </w:t>
      </w:r>
      <w:r>
        <w:rPr>
          <w:b/>
          <w:bCs/>
        </w:rPr>
        <w:t xml:space="preserve">4%</w:t>
      </w:r>
      <w:r>
        <w:t xml:space="preserve"> </w:t>
      </w:r>
      <w:r>
        <w:t xml:space="preserve">to $3.8 billion, and segment margin fell sharply to</w:t>
      </w:r>
      <w:r>
        <w:t xml:space="preserve"> </w:t>
      </w:r>
      <w:r>
        <w:rPr>
          <w:b/>
          <w:bCs/>
        </w:rPr>
        <w:t xml:space="preserve">10.0%</w:t>
      </w:r>
      <w:r>
        <w:t xml:space="preserve"> </w:t>
      </w:r>
      <w:r>
        <w:t xml:space="preserve">from 17.0% a year earlier. Management attributed the weakness to production delays, tariffs, unfavorable pricing timing, and a shortfall in volume relative to expectations. Yet the demand backdrop was notably better than the reported profit: CAT described order intake as its strongest quarter since 2012, supported by copper, gold, heavy construction, quarry &amp; aggregates, and aging mining fleets.</w:t>
      </w:r>
    </w:p>
    <w:p>
      <w:pPr>
        <w:pStyle w:val="BodyText"/>
      </w:pPr>
      <w:r>
        <w:t xml:space="preserve">For 2Q, CAT forecast strong sales growth, but also warned that Resource Industries margin would be below the prior year due to manufacturing costs and investment in autonomy and technology.</w:t>
      </w:r>
    </w:p>
    <w:bookmarkStart w:id="15" w:name="what-to-watch-1"/>
    <w:p>
      <w:pPr>
        <w:pStyle w:val="Heading3"/>
      </w:pPr>
      <w:r>
        <w:t xml:space="preserve">What to watch</w:t>
      </w:r>
    </w:p>
    <w:p>
      <w:pPr>
        <w:pStyle w:val="Compact"/>
        <w:numPr>
          <w:ilvl w:val="0"/>
          <w:numId w:val="1005"/>
        </w:numPr>
      </w:pPr>
      <w:r>
        <w:rPr>
          <w:b/>
          <w:bCs/>
        </w:rPr>
        <w:t xml:space="preserve">Mining orders and deliveries:</w:t>
      </w:r>
      <w:r>
        <w:t xml:space="preserve"> </w:t>
      </w:r>
      <w:r>
        <w:t xml:space="preserve">especially copper and gold-related equipment.</w:t>
      </w:r>
    </w:p>
    <w:p>
      <w:pPr>
        <w:pStyle w:val="Compact"/>
        <w:numPr>
          <w:ilvl w:val="0"/>
          <w:numId w:val="1005"/>
        </w:numPr>
      </w:pPr>
      <w:r>
        <w:rPr>
          <w:b/>
          <w:bCs/>
        </w:rPr>
        <w:t xml:space="preserve">Price realization:</w:t>
      </w:r>
      <w:r>
        <w:t xml:space="preserve"> </w:t>
      </w:r>
      <w:r>
        <w:t xml:space="preserve">management expected pricing to improve through 2026; evidence of improvement in 2Q would be meaningful.</w:t>
      </w:r>
    </w:p>
    <w:p>
      <w:pPr>
        <w:pStyle w:val="Compact"/>
        <w:numPr>
          <w:ilvl w:val="0"/>
          <w:numId w:val="1005"/>
        </w:numPr>
      </w:pPr>
      <w:r>
        <w:rPr>
          <w:b/>
          <w:bCs/>
        </w:rPr>
        <w:t xml:space="preserve">Margin recovery trajectory:</w:t>
      </w:r>
      <w:r>
        <w:t xml:space="preserve"> </w:t>
      </w:r>
      <w:r>
        <w:t xml:space="preserve">even if year-over-year margin declines as guided, investors will assess whether the segment improves sequentially from the weak 1Q result.</w:t>
      </w:r>
    </w:p>
    <w:p>
      <w:pPr>
        <w:pStyle w:val="Compact"/>
        <w:numPr>
          <w:ilvl w:val="0"/>
          <w:numId w:val="1005"/>
        </w:numPr>
      </w:pPr>
      <w:r>
        <w:rPr>
          <w:b/>
          <w:bCs/>
        </w:rPr>
        <w:t xml:space="preserve">Autonomy and software spending:</w:t>
      </w:r>
      <w:r>
        <w:t xml:space="preserve"> </w:t>
      </w:r>
      <w:r>
        <w:t xml:space="preserve">this is strategically attractive but currently dilutive to segment margins. CAT needs to demonstrate that these investments strengthen future differentiation rather than merely raise the cost base.</w:t>
      </w:r>
    </w:p>
    <w:p>
      <w:pPr>
        <w:pStyle w:val="FirstParagraph"/>
      </w:pPr>
      <w:r>
        <w:t xml:space="preserve">A Resource Industries revenue beat accompanied by a margin miss would be a mixed result. Conversely, evidence that the 1Q margin trough was temporary could materially improve confidence in the 2026 earnings path.</w:t>
      </w:r>
    </w:p>
    <w:p>
      <w:r>
        <w:pict>
          <v:rect style="width:0;height:1.5pt" o:hralign="center" o:hrstd="t" o:hr="t"/>
        </w:pict>
      </w:r>
    </w:p>
    <w:bookmarkEnd w:id="15"/>
    <w:bookmarkEnd w:id="16"/>
    <w:bookmarkStart w:id="17" w:name="X72910fe84e4cee5472186243c62e7a7b58bb9ae"/>
    <w:p>
      <w:pPr>
        <w:pStyle w:val="Heading2"/>
      </w:pPr>
      <w:r>
        <w:t xml:space="preserve">Tariffs: still a large headwind, but now more an execution issue than a thesis-breaker</w:t>
      </w:r>
    </w:p>
    <w:p>
      <w:pPr>
        <w:pStyle w:val="FirstParagraph"/>
      </w:pPr>
      <w:r>
        <w:t xml:space="preserve">Tariffs remain material: CAT expects</w:t>
      </w:r>
      <w:r>
        <w:t xml:space="preserve"> </w:t>
      </w:r>
      <w:r>
        <w:rPr>
          <w:b/>
          <w:bCs/>
        </w:rPr>
        <w:t xml:space="preserve">$2.2 billion to</w:t>
      </w:r>
      <w:r>
        <w:rPr>
          <w:b/>
          <w:bCs/>
        </w:rPr>
        <w:t xml:space="preserve"> </w:t>
      </w:r>
      <m:oMath>
        <m:r>
          <m:t>2.4</m:t>
        </m:r>
        <m:r>
          <m:t>b</m:t>
        </m:r>
        <m:r>
          <m:t>i</m:t>
        </m:r>
        <m:r>
          <m:t>l</m:t>
        </m:r>
        <m:r>
          <m:t>l</m:t>
        </m:r>
        <m:r>
          <m:t>i</m:t>
        </m:r>
        <m:r>
          <m:t>o</m:t>
        </m:r>
        <m:r>
          <m:t>n</m:t>
        </m:r>
        <m:r>
          <m:rPr>
            <m:sty m:val="p"/>
          </m:rPr>
          <m:t>*</m:t>
        </m:r>
        <m:r>
          <m:rPr>
            <m:sty m:val="p"/>
          </m:rPr>
          <m:t>*</m:t>
        </m:r>
        <m:r>
          <m:t>o</m:t>
        </m:r>
        <m:r>
          <m:t>f</m:t>
        </m:r>
        <m:r>
          <m:t>f</m:t>
        </m:r>
        <m:r>
          <m:t>u</m:t>
        </m:r>
        <m:r>
          <m:t>l</m:t>
        </m:r>
        <m:r>
          <m:t>l</m:t>
        </m:r>
        <m:r>
          <m:rPr>
            <m:sty m:val="p"/>
          </m:rPr>
          <m:t>−</m:t>
        </m:r>
        <m:r>
          <m:t>y</m:t>
        </m:r>
        <m:r>
          <m:t>e</m:t>
        </m:r>
        <m:r>
          <m:t>a</m:t>
        </m:r>
        <m:r>
          <m:t>r</m:t>
        </m:r>
        <m:r>
          <m:t>2026</m:t>
        </m:r>
        <m:r>
          <m:t>t</m:t>
        </m:r>
        <m:r>
          <m:t>a</m:t>
        </m:r>
        <m:r>
          <m:t>r</m:t>
        </m:r>
        <m:r>
          <m:t>i</m:t>
        </m:r>
        <m:r>
          <m:t>f</m:t>
        </m:r>
        <m:r>
          <m:t>f</m:t>
        </m:r>
        <m:r>
          <m:t>c</m:t>
        </m:r>
        <m:r>
          <m:t>o</m:t>
        </m:r>
        <m:r>
          <m:t>s</m:t>
        </m:r>
        <m:r>
          <m:t>t</m:t>
        </m:r>
        <m:r>
          <m:t>s</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700 million in 2Q</w:t>
      </w:r>
      <w:r>
        <w:t xml:space="preserve">. Those figures are large enough that tariff mitigation, sourcing changes, pricing, and cost absorption can determine whether reported earnings merely meet expectations or produce upside.</w:t>
      </w:r>
    </w:p>
    <w:p>
      <w:pPr>
        <w:pStyle w:val="BodyText"/>
      </w:pPr>
      <w:r>
        <w:t xml:space="preserve">There are two offsets worth keeping in mind:</w:t>
      </w:r>
    </w:p>
    <w:p>
      <w:pPr>
        <w:pStyle w:val="Compact"/>
        <w:numPr>
          <w:ilvl w:val="0"/>
          <w:numId w:val="1006"/>
        </w:numPr>
      </w:pPr>
      <w:r>
        <w:t xml:space="preserve">CAT reduced its full-year tariff-cost outlook from $2.6 billion in the prior quarter.</w:t>
      </w:r>
    </w:p>
    <w:p>
      <w:pPr>
        <w:pStyle w:val="Compact"/>
        <w:numPr>
          <w:ilvl w:val="0"/>
          <w:numId w:val="1006"/>
        </w:numPr>
      </w:pPr>
      <w:r>
        <w:t xml:space="preserve">In 1Q, actual tariff costs of roughly $600 million were better than the company’s prior estimate, though part of that favorability reflected a one-time adjustment to the calculation of 2025-incurred tariff costs.</w:t>
      </w:r>
    </w:p>
    <w:p>
      <w:pPr>
        <w:pStyle w:val="FirstParagraph"/>
      </w:pPr>
      <w:r>
        <w:t xml:space="preserve">Investors should avoid annualizing 1Q’s earnings beat mechanically. Adjusted EPS of</w:t>
      </w:r>
      <w:r>
        <w:t xml:space="preserve"> </w:t>
      </w:r>
      <m:oMath>
        <m:r>
          <m:t>5.54</m:t>
        </m:r>
        <m:r>
          <m:rPr>
            <m:sty m:val="p"/>
          </m:rPr>
          <m:t>*</m:t>
        </m:r>
        <m:r>
          <m:rPr>
            <m:sty m:val="p"/>
          </m:rPr>
          <m:t>*</m:t>
        </m:r>
        <m:r>
          <m:t>i</m:t>
        </m:r>
        <m:r>
          <m:t>n</m:t>
        </m:r>
        <m:r>
          <m:t>c</m:t>
        </m:r>
        <m:r>
          <m:t>l</m:t>
        </m:r>
        <m:r>
          <m:t>u</m:t>
        </m:r>
        <m:r>
          <m:t>d</m:t>
        </m:r>
        <m:r>
          <m:t>e</m:t>
        </m:r>
        <m:r>
          <m:t>d</m:t>
        </m:r>
        <m:r>
          <m:t>a</m:t>
        </m:r>
        <m:r>
          <m:t>b</m:t>
        </m:r>
        <m:r>
          <m:t>o</m:t>
        </m:r>
        <m:r>
          <m:t>u</m:t>
        </m:r>
        <m:r>
          <m:t>t</m:t>
        </m:r>
        <m:r>
          <m:rPr>
            <m:sty m:val="p"/>
          </m:rPr>
          <m:t>*</m:t>
        </m:r>
        <m:r>
          <m:rPr>
            <m:sty m:val="p"/>
          </m:rPr>
          <m:t>*</m:t>
        </m:r>
      </m:oMath>
      <w:r>
        <w:rPr>
          <w:b/>
          <w:bCs/>
        </w:rPr>
        <w:t xml:space="preserve">0.31</w:t>
      </w:r>
      <w:r>
        <w:t xml:space="preserve"> </w:t>
      </w:r>
      <w:r>
        <w:t xml:space="preserve">from the tariff-accounting adjustment and</w:t>
      </w:r>
      <w:r>
        <w:t xml:space="preserve"> </w:t>
      </w:r>
      <w:r>
        <w:rPr>
          <w:b/>
          <w:bCs/>
        </w:rPr>
        <w:t xml:space="preserve">$0.15</w:t>
      </w:r>
      <w:r>
        <w:t xml:space="preserve"> </w:t>
      </w:r>
      <w:r>
        <w:t xml:space="preserve">from a discrete tax benefit. The 2Q report should provide a cleaner assessment of underlying volume, price/cost, and tariff mitigation.</w:t>
      </w:r>
    </w:p>
    <w:p>
      <w:r>
        <w:pict>
          <v:rect style="width:0;height:1.5pt" o:hralign="center" o:hrstd="t" o:hr="t"/>
        </w:pict>
      </w:r>
    </w:p>
    <w:bookmarkEnd w:id="17"/>
    <w:bookmarkStart w:id="18" w:name="X4e32546b1093ffdb9a32aa9c63dceaefd978ed9"/>
    <w:p>
      <w:pPr>
        <w:pStyle w:val="Heading2"/>
      </w:pPr>
      <w:r>
        <w:t xml:space="preserve">Financial Products and cash deployment: supportive, but not the headline</w:t>
      </w:r>
    </w:p>
    <w:p>
      <w:pPr>
        <w:pStyle w:val="FirstParagraph"/>
      </w:pPr>
      <w:r>
        <w:t xml:space="preserve">Cat Financial remains healthy. At the end of 1Q, past dues were</w:t>
      </w:r>
      <w:r>
        <w:t xml:space="preserve"> </w:t>
      </w:r>
      <w:r>
        <w:rPr>
          <w:b/>
          <w:bCs/>
        </w:rPr>
        <w:t xml:space="preserve">1.39%</w:t>
      </w:r>
      <w:r>
        <w:t xml:space="preserve">, down from 1.58% a year earlier, while the allowance for credit losses remained at 0.86% of finance receivables. New retail business volume rose 8% year over year, and used-equipment inventories remained low.</w:t>
      </w:r>
    </w:p>
    <w:p>
      <w:pPr>
        <w:pStyle w:val="BodyText"/>
      </w:pPr>
      <w:r>
        <w:t xml:space="preserve">Capital return remains aggressive:</w:t>
      </w:r>
    </w:p>
    <w:p>
      <w:pPr>
        <w:pStyle w:val="Compact"/>
        <w:numPr>
          <w:ilvl w:val="0"/>
          <w:numId w:val="1007"/>
        </w:numPr>
      </w:pPr>
      <w:r>
        <w:t xml:space="preserve">CAT deployed</w:t>
      </w:r>
      <w:r>
        <w:t xml:space="preserve"> </w:t>
      </w:r>
      <w:r>
        <w:rPr>
          <w:b/>
          <w:bCs/>
        </w:rPr>
        <w:t xml:space="preserve">$5.7 billion</w:t>
      </w:r>
      <w:r>
        <w:t xml:space="preserve"> </w:t>
      </w:r>
      <w:r>
        <w:t xml:space="preserve">to dividends and repurchases in 1Q.</w:t>
      </w:r>
    </w:p>
    <w:p>
      <w:pPr>
        <w:pStyle w:val="Compact"/>
        <w:numPr>
          <w:ilvl w:val="0"/>
          <w:numId w:val="1007"/>
        </w:numPr>
      </w:pPr>
      <w:r>
        <w:t xml:space="preserve">This included approximately</w:t>
      </w:r>
      <w:r>
        <w:t xml:space="preserve"> </w:t>
      </w:r>
      <w:r>
        <w:rPr>
          <w:b/>
          <w:bCs/>
        </w:rPr>
        <w:t xml:space="preserve">$5.0 billion</w:t>
      </w:r>
      <w:r>
        <w:t xml:space="preserve"> </w:t>
      </w:r>
      <w:r>
        <w:t xml:space="preserve">of repurchases, including a $4.5 billion accelerated-share-repurchase program.</w:t>
      </w:r>
    </w:p>
    <w:p>
      <w:pPr>
        <w:pStyle w:val="Compact"/>
        <w:numPr>
          <w:ilvl w:val="0"/>
          <w:numId w:val="1007"/>
        </w:numPr>
      </w:pPr>
      <w:r>
        <w:t xml:space="preserve">The quarterly dividend was raised 7.9% in June to</w:t>
      </w:r>
      <w:r>
        <w:t xml:space="preserve"> </w:t>
      </w:r>
      <w:r>
        <w:rPr>
          <w:b/>
          <w:bCs/>
        </w:rPr>
        <w:t xml:space="preserve">$1.63 per share</w:t>
      </w:r>
      <w:r>
        <w:t xml:space="preserve">.</w:t>
      </w:r>
    </w:p>
    <w:p>
      <w:pPr>
        <w:pStyle w:val="FirstParagraph"/>
      </w:pPr>
      <w:r>
        <w:t xml:space="preserve">The balance sheet and free-cash-flow profile provide downside support, although the bigger investment question is whether capacity investment for large engines can achieve the returns implied by CAT’s long-term growth targets.</w:t>
      </w:r>
    </w:p>
    <w:p>
      <w:r>
        <w:pict>
          <v:rect style="width:0;height:1.5pt" o:hralign="center" o:hrstd="t" o:hr="t"/>
        </w:pict>
      </w:r>
    </w:p>
    <w:bookmarkEnd w:id="18"/>
    <w:bookmarkStart w:id="19" w:name="why-the-2q25-comparison-helps"/>
    <w:p>
      <w:pPr>
        <w:pStyle w:val="Heading2"/>
      </w:pPr>
      <w:r>
        <w:t xml:space="preserve">Why the 2Q25 comparison helps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2Q25 actual</w:t>
            </w:r>
          </w:p>
        </w:tc>
        <w:tc>
          <w:tcPr/>
          <w:p>
            <w:pPr>
              <w:pStyle w:val="Compact"/>
            </w:pPr>
            <w:r>
              <w:t xml:space="preserve">Why it matters for 2Q26</w:t>
            </w:r>
          </w:p>
        </w:tc>
      </w:tr>
      <w:tr>
        <w:tc>
          <w:tcPr/>
          <w:p>
            <w:pPr>
              <w:pStyle w:val="Compact"/>
            </w:pPr>
            <w:r>
              <w:t xml:space="preserve">Sales and revenues</w:t>
            </w:r>
          </w:p>
        </w:tc>
        <w:tc>
          <w:tcPr/>
          <w:p>
            <w:pPr>
              <w:pStyle w:val="Compact"/>
              <w:jc w:val="right"/>
            </w:pPr>
            <w:r>
              <w:t xml:space="preserve">$16.6B</w:t>
            </w:r>
          </w:p>
        </w:tc>
        <w:tc>
          <w:tcPr/>
          <w:p>
            <w:pPr>
              <w:pStyle w:val="Compact"/>
            </w:pPr>
            <w:r>
              <w:t xml:space="preserve">A modest base relative to CAT’s current low-double-digit full-year growth outlook</w:t>
            </w:r>
          </w:p>
        </w:tc>
      </w:tr>
      <w:tr>
        <w:tc>
          <w:tcPr/>
          <w:p>
            <w:pPr>
              <w:pStyle w:val="Compact"/>
            </w:pPr>
            <w:r>
              <w:t xml:space="preserve">Adjusted EPS</w:t>
            </w:r>
          </w:p>
        </w:tc>
        <w:tc>
          <w:tcPr/>
          <w:p>
            <w:pPr>
              <w:pStyle w:val="Compact"/>
              <w:jc w:val="right"/>
            </w:pPr>
            <w:r>
              <w:t xml:space="preserve">$4.72</w:t>
            </w:r>
          </w:p>
        </w:tc>
        <w:tc>
          <w:tcPr/>
          <w:p>
            <w:pPr>
              <w:pStyle w:val="Compact"/>
            </w:pPr>
            <w:r>
              <w:t xml:space="preserve">Sets a comparatively manageable earnings comparison</w:t>
            </w:r>
          </w:p>
        </w:tc>
      </w:tr>
      <w:tr>
        <w:tc>
          <w:tcPr/>
          <w:p>
            <w:pPr>
              <w:pStyle w:val="Compact"/>
            </w:pPr>
            <w:r>
              <w:t xml:space="preserve">Adjusted operating margin</w:t>
            </w:r>
          </w:p>
        </w:tc>
        <w:tc>
          <w:tcPr/>
          <w:p>
            <w:pPr>
              <w:pStyle w:val="Compact"/>
              <w:jc w:val="right"/>
            </w:pPr>
            <w:r>
              <w:t xml:space="preserve">17.6%</w:t>
            </w:r>
          </w:p>
        </w:tc>
        <w:tc>
          <w:tcPr/>
          <w:p>
            <w:pPr>
              <w:pStyle w:val="Compact"/>
            </w:pPr>
            <w:r>
              <w:t xml:space="preserve">CAT expects enterprise margin to improve year over year despite higher tariffs</w:t>
            </w:r>
          </w:p>
        </w:tc>
      </w:tr>
      <w:tr>
        <w:tc>
          <w:tcPr/>
          <w:p>
            <w:pPr>
              <w:pStyle w:val="Compact"/>
            </w:pPr>
            <w:r>
              <w:t xml:space="preserve">Construction sales growth</w:t>
            </w:r>
          </w:p>
        </w:tc>
        <w:tc>
          <w:tcPr/>
          <w:p>
            <w:pPr>
              <w:pStyle w:val="Compact"/>
              <w:jc w:val="right"/>
            </w:pPr>
            <w:r>
              <w:t xml:space="preserve">-7%</w:t>
            </w:r>
          </w:p>
        </w:tc>
        <w:tc>
          <w:tcPr/>
          <w:p>
            <w:pPr>
              <w:pStyle w:val="Compact"/>
            </w:pPr>
            <w:r>
              <w:t xml:space="preserve">Easier comparison, but end-user demand and dealer inventory are key</w:t>
            </w:r>
          </w:p>
        </w:tc>
      </w:tr>
      <w:tr>
        <w:tc>
          <w:tcPr/>
          <w:p>
            <w:pPr>
              <w:pStyle w:val="Compact"/>
            </w:pPr>
            <w:r>
              <w:t xml:space="preserve">Resource Industries sales growth</w:t>
            </w:r>
          </w:p>
        </w:tc>
        <w:tc>
          <w:tcPr/>
          <w:p>
            <w:pPr>
              <w:pStyle w:val="Compact"/>
              <w:jc w:val="right"/>
            </w:pPr>
            <w:r>
              <w:t xml:space="preserve">-4%</w:t>
            </w:r>
          </w:p>
        </w:tc>
        <w:tc>
          <w:tcPr/>
          <w:p>
            <w:pPr>
              <w:pStyle w:val="Compact"/>
            </w:pPr>
            <w:r>
              <w:t xml:space="preserve">Easier comparison; margin progression matters more</w:t>
            </w:r>
          </w:p>
        </w:tc>
      </w:tr>
      <w:tr>
        <w:tc>
          <w:tcPr/>
          <w:p>
            <w:pPr>
              <w:pStyle w:val="Compact"/>
            </w:pPr>
            <w:r>
              <w:t xml:space="preserve">Legacy Energy &amp; Transportation sales growth</w:t>
            </w:r>
          </w:p>
        </w:tc>
        <w:tc>
          <w:tcPr/>
          <w:p>
            <w:pPr>
              <w:pStyle w:val="Compact"/>
              <w:jc w:val="right"/>
            </w:pPr>
            <w:r>
              <w:t xml:space="preserve">+7%</w:t>
            </w:r>
          </w:p>
        </w:tc>
        <w:tc>
          <w:tcPr/>
          <w:p>
            <w:pPr>
              <w:pStyle w:val="Compact"/>
            </w:pPr>
            <w:r>
              <w:t xml:space="preserve">Power generation was already growing, so 2Q26 needs to confirm acceleration and durability</w:t>
            </w:r>
          </w:p>
        </w:tc>
      </w:tr>
    </w:tbl>
    <w:p>
      <w:pPr>
        <w:pStyle w:val="BodyText"/>
      </w:pPr>
      <w:r>
        <w:rPr>
          <w:i/>
          <w:iCs/>
        </w:rPr>
        <w:t xml:space="preserve">Note: CAT has since moved Rail into Resource Industries, so segment comparisons should use the company’s recast reporting presentation rather than legacy 2025 segment labels.</w:t>
      </w:r>
    </w:p>
    <w:p>
      <w:r>
        <w:pict>
          <v:rect style="width:0;height:1.5pt" o:hralign="center" o:hrstd="t" o:hr="t"/>
        </w:pict>
      </w:r>
    </w:p>
    <w:bookmarkEnd w:id="19"/>
    <w:bookmarkStart w:id="22" w:name="earnings-call-checklist"/>
    <w:p>
      <w:pPr>
        <w:pStyle w:val="Heading2"/>
      </w:pPr>
      <w:r>
        <w:t xml:space="preserve">Earnings-call checklist</w:t>
      </w:r>
    </w:p>
    <w:bookmarkStart w:id="20" w:name="bullish-signals"/>
    <w:p>
      <w:pPr>
        <w:pStyle w:val="Heading3"/>
      </w:pPr>
      <w:r>
        <w:t xml:space="preserve">Bullish signals</w:t>
      </w:r>
    </w:p>
    <w:p>
      <w:pPr>
        <w:pStyle w:val="Compact"/>
        <w:numPr>
          <w:ilvl w:val="0"/>
          <w:numId w:val="1008"/>
        </w:numPr>
      </w:pPr>
      <w:r>
        <w:t xml:space="preserve">Power &amp; Energy backlog continues to rise substantially, particularly in prime-power applications.</w:t>
      </w:r>
    </w:p>
    <w:p>
      <w:pPr>
        <w:pStyle w:val="Compact"/>
        <w:numPr>
          <w:ilvl w:val="0"/>
          <w:numId w:val="1008"/>
        </w:numPr>
      </w:pPr>
      <w:r>
        <w:t xml:space="preserve">Management describes data-center demand as broadening, lengthening in duration, or improving in visibility.</w:t>
      </w:r>
    </w:p>
    <w:p>
      <w:pPr>
        <w:pStyle w:val="Compact"/>
        <w:numPr>
          <w:ilvl w:val="0"/>
          <w:numId w:val="1008"/>
        </w:numPr>
      </w:pPr>
      <w:r>
        <w:t xml:space="preserve">Construction end-user sales remain robust without another material dealer inventory build.</w:t>
      </w:r>
    </w:p>
    <w:p>
      <w:pPr>
        <w:pStyle w:val="Compact"/>
        <w:numPr>
          <w:ilvl w:val="0"/>
          <w:numId w:val="1008"/>
        </w:numPr>
      </w:pPr>
      <w:r>
        <w:t xml:space="preserve">Resource Industries shows meaningful sequential margin improvement and better price realization.</w:t>
      </w:r>
    </w:p>
    <w:p>
      <w:pPr>
        <w:pStyle w:val="Compact"/>
        <w:numPr>
          <w:ilvl w:val="0"/>
          <w:numId w:val="1008"/>
        </w:numPr>
      </w:pPr>
      <w:r>
        <w:t xml:space="preserve">Tariff costs come in below the ~$700 million 2Q expectation, or mitigation is tracking ahead of plan.</w:t>
      </w:r>
    </w:p>
    <w:p>
      <w:pPr>
        <w:pStyle w:val="Compact"/>
        <w:numPr>
          <w:ilvl w:val="0"/>
          <w:numId w:val="1008"/>
        </w:numPr>
      </w:pPr>
      <w:r>
        <w:t xml:space="preserve">Full-year revenue, margin, or free-cash-flow guidance rises again.</w:t>
      </w:r>
    </w:p>
    <w:bookmarkEnd w:id="20"/>
    <w:bookmarkStart w:id="21" w:name="bearish-signals"/>
    <w:p>
      <w:pPr>
        <w:pStyle w:val="Heading3"/>
      </w:pPr>
      <w:r>
        <w:t xml:space="preserve">Bearish signals</w:t>
      </w:r>
    </w:p>
    <w:p>
      <w:pPr>
        <w:pStyle w:val="Compact"/>
        <w:numPr>
          <w:ilvl w:val="0"/>
          <w:numId w:val="1009"/>
        </w:numPr>
      </w:pPr>
      <w:r>
        <w:t xml:space="preserve">Data-center orders are delayed, project approvals are slipping, or backlog conversion is slowing.</w:t>
      </w:r>
    </w:p>
    <w:p>
      <w:pPr>
        <w:pStyle w:val="Compact"/>
        <w:numPr>
          <w:ilvl w:val="0"/>
          <w:numId w:val="1009"/>
        </w:numPr>
      </w:pPr>
      <w:r>
        <w:t xml:space="preserve">Power &amp; Energy growth is strong but margins disappoint because capacity-expansion costs or tariffs are worse than expected.</w:t>
      </w:r>
    </w:p>
    <w:p>
      <w:pPr>
        <w:pStyle w:val="Compact"/>
        <w:numPr>
          <w:ilvl w:val="0"/>
          <w:numId w:val="1009"/>
        </w:numPr>
      </w:pPr>
      <w:r>
        <w:t xml:space="preserve">Construction demand is less healthy than 1Q shipments implied, exposing elevated dealer inventories.</w:t>
      </w:r>
    </w:p>
    <w:p>
      <w:pPr>
        <w:pStyle w:val="Compact"/>
        <w:numPr>
          <w:ilvl w:val="0"/>
          <w:numId w:val="1009"/>
        </w:numPr>
      </w:pPr>
      <w:r>
        <w:t xml:space="preserve">Resource Industries backlog is strong but deliveries, pricing, or margins remain weak.</w:t>
      </w:r>
    </w:p>
    <w:p>
      <w:pPr>
        <w:pStyle w:val="Compact"/>
        <w:numPr>
          <w:ilvl w:val="0"/>
          <w:numId w:val="1009"/>
        </w:numPr>
      </w:pPr>
      <w:r>
        <w:t xml:space="preserve">Management reaffirms full-year guidance but sounds more cautious on the second half, tariffs, China, the Middle East, or global construction activity.</w:t>
      </w:r>
    </w:p>
    <w:p>
      <w:r>
        <w:pict>
          <v:rect style="width:0;height:1.5pt" o:hralign="center" o:hrstd="t" o:hr="t"/>
        </w:pict>
      </w:r>
    </w:p>
    <w:bookmarkEnd w:id="21"/>
    <w:bookmarkEnd w:id="22"/>
    <w:bookmarkStart w:id="24" w:name="bottom-line"/>
    <w:p>
      <w:pPr>
        <w:pStyle w:val="Heading2"/>
      </w:pPr>
      <w:r>
        <w:t xml:space="preserve">Bottom line</w:t>
      </w:r>
    </w:p>
    <w:p>
      <w:pPr>
        <w:pStyle w:val="FirstParagraph"/>
      </w:pPr>
      <w:r>
        <w:t xml:space="preserve">CAT is no longer being judged primarily as a traditional cyclical construction-equipment manufacturer. The market increasingly values it as a beneficiary of</w:t>
      </w:r>
      <w:r>
        <w:t xml:space="preserve"> </w:t>
      </w:r>
      <w:r>
        <w:rPr>
          <w:b/>
          <w:bCs/>
        </w:rPr>
        <w:t xml:space="preserve">power scarcity, data-center infrastructure, mining investment, and large-engine aftermarket growth</w:t>
      </w:r>
      <w:r>
        <w:t xml:space="preserve">. That creates a favorable long-term opportunity—but also means the company must continuously validate the durability of Power &amp; Energy demand and its ability to convert a large backlog into profitable, cash-generative growth.</w:t>
      </w:r>
    </w:p>
    <w:p>
      <w:pPr>
        <w:pStyle w:val="BodyText"/>
      </w:pPr>
      <w:r>
        <w:t xml:space="preserve">For 2Q26, the highest-value evidence would be:</w:t>
      </w:r>
    </w:p>
    <w:p>
      <w:pPr>
        <w:pStyle w:val="Compact"/>
        <w:numPr>
          <w:ilvl w:val="0"/>
          <w:numId w:val="1010"/>
        </w:numPr>
      </w:pPr>
      <w:r>
        <w:rPr>
          <w:b/>
          <w:bCs/>
        </w:rPr>
        <w:t xml:space="preserve">another strong Power &amp; Energy order/backlog update;</w:t>
      </w:r>
    </w:p>
    <w:p>
      <w:pPr>
        <w:pStyle w:val="Compact"/>
        <w:numPr>
          <w:ilvl w:val="0"/>
          <w:numId w:val="1010"/>
        </w:numPr>
      </w:pPr>
      <w:r>
        <w:rPr>
          <w:b/>
          <w:bCs/>
        </w:rPr>
        <w:t xml:space="preserve">healthy Construction end-user demand without channel dependence;</w:t>
      </w:r>
    </w:p>
    <w:p>
      <w:pPr>
        <w:pStyle w:val="Compact"/>
        <w:numPr>
          <w:ilvl w:val="0"/>
          <w:numId w:val="1010"/>
        </w:numPr>
      </w:pPr>
      <w:r>
        <w:rPr>
          <w:b/>
          <w:bCs/>
        </w:rPr>
        <w:t xml:space="preserve">clear sequential stabilization in Resource Industries margins;</w:t>
      </w:r>
      <w:r>
        <w:t xml:space="preserve"> </w:t>
      </w:r>
      <w:r>
        <w:t xml:space="preserve">and</w:t>
      </w:r>
    </w:p>
    <w:p>
      <w:pPr>
        <w:pStyle w:val="Compact"/>
        <w:numPr>
          <w:ilvl w:val="0"/>
          <w:numId w:val="1010"/>
        </w:numPr>
      </w:pPr>
      <w:r>
        <w:rPr>
          <w:b/>
          <w:bCs/>
        </w:rPr>
        <w:t xml:space="preserve">no erosion in the low-double-digit 2026 revenue outlook despite tariff and macro uncertainty.</w:t>
      </w:r>
    </w:p>
    <w:p>
      <w:pPr>
        <w:pStyle w:val="FirstParagraph"/>
      </w:pPr>
      <w:r>
        <w:t xml:space="preserve">A solid quarter with a simple reiteration of guidance may be insufficient for a premium-valued stock. A report that confirms demand durability while demonstrating tariff mitigation and improving Resource Industries execution would be the more compelling bullish outcome.</w:t>
      </w:r>
    </w:p>
    <w:bookmarkStart w:id="23" w:name="sources"/>
    <w:p>
      <w:pPr>
        <w:pStyle w:val="Heading3"/>
      </w:pPr>
      <w:r>
        <w:t xml:space="preserve">Sources</w:t>
      </w:r>
    </w:p>
    <w:p>
      <w:pPr>
        <w:pStyle w:val="Compact"/>
        <w:numPr>
          <w:ilvl w:val="0"/>
          <w:numId w:val="1011"/>
        </w:numPr>
      </w:pPr>
      <w:r>
        <w:t xml:space="preserve">Caterpillar 1Q26 earnings release and earnings-call transcript, April 30, 2026.</w:t>
      </w:r>
    </w:p>
    <w:p>
      <w:pPr>
        <w:pStyle w:val="Compact"/>
        <w:numPr>
          <w:ilvl w:val="0"/>
          <w:numId w:val="1011"/>
        </w:numPr>
      </w:pPr>
      <w:r>
        <w:t xml:space="preserve">Caterpillar 2Q26 results-announcement notice, July 21, 2026.</w:t>
      </w:r>
    </w:p>
    <w:p>
      <w:pPr>
        <w:pStyle w:val="Compact"/>
        <w:numPr>
          <w:ilvl w:val="0"/>
          <w:numId w:val="1011"/>
        </w:numPr>
      </w:pPr>
      <w:r>
        <w:t xml:space="preserve">Caterpillar 2Q25 earnings release, August 5, 2025.</w:t>
      </w:r>
    </w:p>
    <w:p>
      <w:pPr>
        <w:pStyle w:val="Compact"/>
        <w:numPr>
          <w:ilvl w:val="0"/>
          <w:numId w:val="1011"/>
        </w:numPr>
      </w:pPr>
      <w:r>
        <w:t xml:space="preserve">CAT historical closing-price data through August 3,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2026-08-04T00:42:13Z</dcterms:created>
  <dcterms:modified xsi:type="dcterms:W3CDTF">2026-08-04T00:42:13Z</dcterms:modified>
</cp:coreProperties>
</file>

<file path=docProps/custom.xml><?xml version="1.0" encoding="utf-8"?>
<Properties xmlns="http://schemas.openxmlformats.org/officeDocument/2006/custom-properties" xmlns:vt="http://schemas.openxmlformats.org/officeDocument/2006/docPropsVTypes"/>
</file>