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Caterpillar Inc.</w:t>
            </w:r>
          </w:p>
        </w:tc>
      </w:tr>
      <w:tr>
        <w:tc>
          <w:tcPr>
            <w:tcW w:type="dxa" w:w="4320"/>
          </w:tcPr>
          <w:p>
            <w:r>
              <w:rPr>
                <w:rFonts w:ascii="Calibri" w:hAnsi="Calibri"/>
                <w:b/>
                <w:sz w:val="22"/>
              </w:rPr>
              <w:t>Ticker</w:t>
            </w:r>
          </w:p>
        </w:tc>
        <w:tc>
          <w:tcPr>
            <w:tcW w:type="dxa" w:w="4320"/>
          </w:tcPr>
          <w:p>
            <w:r>
              <w:rPr>
                <w:rFonts w:ascii="Calibri" w:hAnsi="Calibri"/>
                <w:sz w:val="22"/>
              </w:rPr>
              <w:t>CAT (NYSE)</w:t>
            </w:r>
          </w:p>
        </w:tc>
      </w:tr>
      <w:tr>
        <w:tc>
          <w:tcPr>
            <w:tcW w:type="dxa" w:w="4320"/>
          </w:tcPr>
          <w:p>
            <w:r>
              <w:rPr>
                <w:rFonts w:ascii="Calibri" w:hAnsi="Calibri"/>
                <w:b/>
                <w:sz w:val="22"/>
              </w:rPr>
              <w:t>Upcoming Earnings Date</w:t>
            </w:r>
          </w:p>
        </w:tc>
        <w:tc>
          <w:tcPr>
            <w:tcW w:type="dxa" w:w="4320"/>
          </w:tcPr>
          <w:p>
            <w:r>
              <w:rPr>
                <w:rFonts w:ascii="Calibri" w:hAnsi="Calibri"/>
                <w:sz w:val="22"/>
              </w:rPr>
              <w:t>August 4, 2026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given CAT's record $63B backlog and management's explicit Q2 guidance for strong sales growth across all three segments — but the stock has already given back its post-Q1 surge and the biggest swing factor is whether Power &amp; Energy revenue can clear the $6.8B consensus estimate amid tariff headwinds of ~$700M in the quarter.</w:t>
      </w:r>
    </w:p>
    <w:p>
      <w:r>
        <w:rPr>
          <w:rFonts w:ascii="Calibri" w:hAnsi="Calibri"/>
          <w:color w:val="525866"/>
          <w:sz w:val="22"/>
        </w:rPr>
        <w:t xml:space="preserve">Heading into Q2 2026, Caterpillar's setup is constructive but not without complexity. The bar is achievable: consensus calls for revenue of ~$18.95B and operating EPS of ~$6.10, both of which management's own Q2 guidance language — "strong sales growth" across all three segments with "higher margins versus prior year" — implies is beatable, particularly given the Q1 pattern where CAT beat revenue by ~7% and EPS by ~19%. </w:t>
      </w:r>
      <w:r>
        <w:rPr>
          <w:rFonts w:ascii="Calibri" w:hAnsi="Calibri"/>
          <w:b/>
          <w:color w:val="525866"/>
          <w:sz w:val="22"/>
        </w:rPr>
        <w:t>Management's tone has shifted decisively more confident since last earnings</w:t>
      </w:r>
      <w:r>
        <w:rPr>
          <w:rFonts w:ascii="Calibri" w:hAnsi="Calibri"/>
          <w:color w:val="525866"/>
          <w:sz w:val="22"/>
        </w:rPr>
        <w:t xml:space="preserve">: the full-year revenue guide was raised to low double-digit growth, the long-term CAGR target was lifted to 6–9%, and the power generation 2030 target was raised to 3x 2024 sales — all signals of a management team with high conviction in its order book. Estimate revisions have tracked guidance upward since the Q1 print, with the 2026FY operating EPS consensus rising from ~$24.50 to ~$24.50 (stable) and Q2 EPS moving from ~$6.14 to ~$6.10 — a slight drift lower that likely reflects tariff uncertainty rather than demand skepticism. The stock surged from ~$890 on earnings day to a 52-week high of ~$1,065 on June 30, but has since retreated ~22% to ~$830, underperforming XLI (+4.9%) and SPY (+5.4%) since the Q1 print — suggesting the market has already partially de-rated the AI/data center premium. </w:t>
      </w:r>
      <w:r>
        <w:rPr>
          <w:rFonts w:ascii="Calibri" w:hAnsi="Calibri"/>
          <w:b/>
          <w:color w:val="525866"/>
          <w:sz w:val="22"/>
        </w:rPr>
        <w:t>The key wildcard is the Baird downgrade on July 29 (PT cut to $900 from $1,200)</w:t>
      </w:r>
      <w:r>
        <w:rPr>
          <w:rFonts w:ascii="Calibri" w:hAnsi="Calibri"/>
          <w:color w:val="525866"/>
          <w:sz w:val="22"/>
        </w:rPr>
        <w:t xml:space="preserve"> citing data center regulatory risk and potential power generation oversupply post-2026 — a thesis that could weigh on the multiple even if Q2 numbers beat, making the quality of Power &amp; Energy order commentary the single most important element of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management guided explicitly for "strong sales growth" and "higher margins" in Q2 across all three segments. </w:t>
      </w:r>
      <w:r>
        <w:rPr>
          <w:rFonts w:ascii="Calibri" w:hAnsi="Calibri"/>
          <w:b/>
          <w:color w:val="525866"/>
          <w:sz w:val="22"/>
        </w:rPr>
        <w:t>Power &amp; Energy revenue ($6.76B consensus) is the bigger swing factor</w:t>
      </w:r>
      <w:r>
        <w:rPr>
          <w:rFonts w:ascii="Calibri" w:hAnsi="Calibri"/>
          <w:color w:val="525866"/>
          <w:sz w:val="22"/>
        </w:rPr>
        <w:t>; any upside there would drive a meaningful EPS beat given the segment's high incremental margins.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$17.42B</w:t>
            </w:r>
          </w:p>
        </w:tc>
        <w:tc>
          <w:tcPr>
            <w:tcW w:type="dxa" w:w="1234"/>
          </w:tcPr>
          <w:p>
            <w:r>
              <w:rPr>
                <w:rFonts w:ascii="Calibri" w:hAnsi="Calibri"/>
                <w:sz w:val="22"/>
              </w:rPr>
              <w:t>$16.57B</w:t>
            </w:r>
          </w:p>
        </w:tc>
        <w:tc>
          <w:tcPr>
            <w:tcW w:type="dxa" w:w="1234"/>
          </w:tcPr>
          <w:p>
            <w:r>
              <w:rPr>
                <w:rFonts w:ascii="Calibri" w:hAnsi="Calibri"/>
                <w:sz w:val="22"/>
              </w:rPr>
              <w:t>$18.95B</w:t>
            </w:r>
          </w:p>
        </w:tc>
        <w:tc>
          <w:tcPr>
            <w:tcW w:type="dxa" w:w="1234"/>
          </w:tcPr>
          <w:p>
            <w:r>
              <w:rPr>
                <w:rFonts w:ascii="Calibri" w:hAnsi="Calibri"/>
                <w:sz w:val="22"/>
              </w:rPr>
              <w:t>+14.3%</w:t>
            </w:r>
          </w:p>
        </w:tc>
        <w:tc>
          <w:tcPr>
            <w:tcW w:type="dxa" w:w="1234"/>
          </w:tcPr>
          <w:p>
            <w:r>
              <w:rPr>
                <w:rFonts w:ascii="Calibri" w:hAnsi="Calibri"/>
                <w:sz w:val="22"/>
              </w:rPr>
              <w:t>Strong growth vs. prior year; all 3 segments up</w:t>
            </w:r>
          </w:p>
        </w:tc>
        <w:tc>
          <w:tcPr>
            <w:tcW w:type="dxa" w:w="1234"/>
          </w:tcPr>
          <w:p>
            <w:r>
              <w:rPr>
                <w:rFonts w:ascii="Calibri" w:hAnsi="Calibri"/>
                <w:sz w:val="22"/>
              </w:rPr>
              <w:t>N/A (qualitative)</w:t>
            </w:r>
          </w:p>
        </w:tc>
      </w:tr>
      <w:tr>
        <w:tc>
          <w:tcPr>
            <w:tcW w:type="dxa" w:w="1234"/>
          </w:tcPr>
          <w:p>
            <w:r>
              <w:rPr>
                <w:rFonts w:ascii="Calibri" w:hAnsi="Calibri"/>
                <w:sz w:val="22"/>
              </w:rPr>
              <w:t>Diluted EPS — Operating ($)</w:t>
            </w:r>
          </w:p>
        </w:tc>
        <w:tc>
          <w:tcPr>
            <w:tcW w:type="dxa" w:w="1234"/>
          </w:tcPr>
          <w:p>
            <w:r>
              <w:rPr>
                <w:rFonts w:ascii="Calibri" w:hAnsi="Calibri"/>
                <w:sz w:val="22"/>
              </w:rPr>
              <w:t>$5.54</w:t>
            </w:r>
          </w:p>
        </w:tc>
        <w:tc>
          <w:tcPr>
            <w:tcW w:type="dxa" w:w="1234"/>
          </w:tcPr>
          <w:p>
            <w:r>
              <w:rPr>
                <w:rFonts w:ascii="Calibri" w:hAnsi="Calibri"/>
                <w:sz w:val="22"/>
              </w:rPr>
              <w:t>$4.72</w:t>
            </w:r>
          </w:p>
        </w:tc>
        <w:tc>
          <w:tcPr>
            <w:tcW w:type="dxa" w:w="1234"/>
          </w:tcPr>
          <w:p>
            <w:r>
              <w:rPr>
                <w:rFonts w:ascii="Calibri" w:hAnsi="Calibri"/>
                <w:sz w:val="22"/>
              </w:rPr>
              <w:t>$6.10</w:t>
            </w:r>
          </w:p>
        </w:tc>
        <w:tc>
          <w:tcPr>
            <w:tcW w:type="dxa" w:w="1234"/>
          </w:tcPr>
          <w:p>
            <w:r>
              <w:rPr>
                <w:rFonts w:ascii="Calibri" w:hAnsi="Calibri"/>
                <w:sz w:val="22"/>
              </w:rPr>
              <w:t>+29.2%</w:t>
            </w:r>
          </w:p>
        </w:tc>
        <w:tc>
          <w:tcPr>
            <w:tcW w:type="dxa" w:w="1234"/>
          </w:tcPr>
          <w:p>
            <w:r>
              <w:rPr>
                <w:rFonts w:ascii="Calibri" w:hAnsi="Calibri"/>
                <w:sz w:val="22"/>
              </w:rPr>
              <w:t>Higher margins vs. prior year (incl. tariffs)</w:t>
            </w:r>
          </w:p>
        </w:tc>
        <w:tc>
          <w:tcPr>
            <w:tcW w:type="dxa" w:w="1234"/>
          </w:tcPr>
          <w:p>
            <w:r>
              <w:rPr>
                <w:rFonts w:ascii="Calibri" w:hAnsi="Calibri"/>
                <w:sz w:val="22"/>
              </w:rPr>
              <w:t>N/A (qualitative)</w:t>
            </w:r>
          </w:p>
        </w:tc>
      </w:tr>
      <w:tr>
        <w:tc>
          <w:tcPr>
            <w:tcW w:type="dxa" w:w="1234"/>
          </w:tcPr>
          <w:p>
            <w:r>
              <w:rPr>
                <w:rFonts w:ascii="Calibri" w:hAnsi="Calibri"/>
                <w:sz w:val="22"/>
              </w:rPr>
              <w:t>Adj. Operating Profit ($B)</w:t>
            </w:r>
          </w:p>
        </w:tc>
        <w:tc>
          <w:tcPr>
            <w:tcW w:type="dxa" w:w="1234"/>
          </w:tcPr>
          <w:p>
            <w:r>
              <w:rPr>
                <w:rFonts w:ascii="Calibri" w:hAnsi="Calibri"/>
                <w:sz w:val="22"/>
              </w:rPr>
              <w:t>$3.13B</w:t>
            </w:r>
          </w:p>
        </w:tc>
        <w:tc>
          <w:tcPr>
            <w:tcW w:type="dxa" w:w="1234"/>
          </w:tcPr>
          <w:p>
            <w:r>
              <w:rPr>
                <w:rFonts w:ascii="Calibri" w:hAnsi="Calibri"/>
                <w:sz w:val="22"/>
              </w:rPr>
              <w:t>$2.92B</w:t>
            </w:r>
          </w:p>
        </w:tc>
        <w:tc>
          <w:tcPr>
            <w:tcW w:type="dxa" w:w="1234"/>
          </w:tcPr>
          <w:p>
            <w:r>
              <w:rPr>
                <w:rFonts w:ascii="Calibri" w:hAnsi="Calibri"/>
                <w:sz w:val="22"/>
              </w:rPr>
              <w:t>$3.56B</w:t>
            </w:r>
          </w:p>
        </w:tc>
        <w:tc>
          <w:tcPr>
            <w:tcW w:type="dxa" w:w="1234"/>
          </w:tcPr>
          <w:p>
            <w:r>
              <w:rPr>
                <w:rFonts w:ascii="Calibri" w:hAnsi="Calibri"/>
                <w:sz w:val="22"/>
              </w:rPr>
              <w:t>+22.1%</w:t>
            </w:r>
          </w:p>
        </w:tc>
        <w:tc>
          <w:tcPr>
            <w:tcW w:type="dxa" w:w="1234"/>
          </w:tcPr>
          <w:p>
            <w:r>
              <w:rPr>
                <w:rFonts w:ascii="Calibri" w:hAnsi="Calibri"/>
                <w:sz w:val="22"/>
              </w:rPr>
              <w:t>Higher margins vs. prior year</w:t>
            </w:r>
          </w:p>
        </w:tc>
        <w:tc>
          <w:tcPr>
            <w:tcW w:type="dxa" w:w="1234"/>
          </w:tcPr>
          <w:p>
            <w:r>
              <w:rPr>
                <w:rFonts w:ascii="Calibri" w:hAnsi="Calibri"/>
                <w:sz w:val="22"/>
              </w:rPr>
              <w:t>N/A (qualitative)</w:t>
            </w:r>
          </w:p>
        </w:tc>
      </w:tr>
      <w:tr>
        <w:tc>
          <w:tcPr>
            <w:tcW w:type="dxa" w:w="1234"/>
          </w:tcPr>
          <w:p>
            <w:r>
              <w:rPr>
                <w:rFonts w:ascii="Calibri" w:hAnsi="Calibri"/>
                <w:sz w:val="22"/>
              </w:rPr>
              <w:t>Adj. Operating Margin (%)</w:t>
            </w:r>
          </w:p>
        </w:tc>
        <w:tc>
          <w:tcPr>
            <w:tcW w:type="dxa" w:w="1234"/>
          </w:tcPr>
          <w:p>
            <w:r>
              <w:rPr>
                <w:rFonts w:ascii="Calibri" w:hAnsi="Calibri"/>
                <w:sz w:val="22"/>
              </w:rPr>
              <w:t>17.95%</w:t>
            </w:r>
          </w:p>
        </w:tc>
        <w:tc>
          <w:tcPr>
            <w:tcW w:type="dxa" w:w="1234"/>
          </w:tcPr>
          <w:p>
            <w:r>
              <w:rPr>
                <w:rFonts w:ascii="Calibri" w:hAnsi="Calibri"/>
                <w:sz w:val="22"/>
              </w:rPr>
              <w:t>17.60%</w:t>
            </w:r>
          </w:p>
        </w:tc>
        <w:tc>
          <w:tcPr>
            <w:tcW w:type="dxa" w:w="1234"/>
          </w:tcPr>
          <w:p>
            <w:r>
              <w:rPr>
                <w:rFonts w:ascii="Calibri" w:hAnsi="Calibri"/>
                <w:sz w:val="22"/>
              </w:rPr>
              <w:t>18.74%</w:t>
            </w:r>
          </w:p>
        </w:tc>
        <w:tc>
          <w:tcPr>
            <w:tcW w:type="dxa" w:w="1234"/>
          </w:tcPr>
          <w:p>
            <w:r>
              <w:rPr>
                <w:rFonts w:ascii="Calibri" w:hAnsi="Calibri"/>
                <w:sz w:val="22"/>
              </w:rPr>
              <w:t>+114 bps</w:t>
            </w:r>
          </w:p>
        </w:tc>
        <w:tc>
          <w:tcPr>
            <w:tcW w:type="dxa" w:w="1234"/>
          </w:tcPr>
          <w:p>
            <w:r>
              <w:rPr>
                <w:rFonts w:ascii="Calibri" w:hAnsi="Calibri"/>
                <w:sz w:val="22"/>
              </w:rPr>
              <w:t>Higher margin % vs. prior year (incl. tariffs)</w:t>
            </w:r>
          </w:p>
        </w:tc>
        <w:tc>
          <w:tcPr>
            <w:tcW w:type="dxa" w:w="1234"/>
          </w:tcPr>
          <w:p>
            <w:r>
              <w:rPr>
                <w:rFonts w:ascii="Calibri" w:hAnsi="Calibri"/>
                <w:sz w:val="22"/>
              </w:rPr>
              <w:t>N/A (qualitative)</w:t>
            </w:r>
          </w:p>
        </w:tc>
      </w:tr>
      <w:tr>
        <w:tc>
          <w:tcPr>
            <w:tcW w:type="dxa" w:w="1234"/>
          </w:tcPr>
          <w:p>
            <w:r>
              <w:rPr>
                <w:rFonts w:ascii="Calibri" w:hAnsi="Calibri"/>
                <w:sz w:val="22"/>
              </w:rPr>
              <w:t>Power &amp; Energy Revenue ($B)</w:t>
            </w:r>
          </w:p>
        </w:tc>
        <w:tc>
          <w:tcPr>
            <w:tcW w:type="dxa" w:w="1234"/>
          </w:tcPr>
          <w:p>
            <w:r>
              <w:rPr>
                <w:rFonts w:ascii="Calibri" w:hAnsi="Calibri"/>
                <w:sz w:val="22"/>
              </w:rPr>
              <w:t>$5.71B</w:t>
            </w:r>
          </w:p>
        </w:tc>
        <w:tc>
          <w:tcPr>
            <w:tcW w:type="dxa" w:w="1234"/>
          </w:tcPr>
          <w:p>
            <w:r>
              <w:rPr>
                <w:rFonts w:ascii="Calibri" w:hAnsi="Calibri"/>
                <w:sz w:val="22"/>
              </w:rPr>
              <w:t>$5.79B</w:t>
            </w:r>
          </w:p>
        </w:tc>
        <w:tc>
          <w:tcPr>
            <w:tcW w:type="dxa" w:w="1234"/>
          </w:tcPr>
          <w:p>
            <w:r>
              <w:rPr>
                <w:rFonts w:ascii="Calibri" w:hAnsi="Calibri"/>
                <w:sz w:val="22"/>
              </w:rPr>
              <w:t>$6.76B</w:t>
            </w:r>
          </w:p>
        </w:tc>
        <w:tc>
          <w:tcPr>
            <w:tcW w:type="dxa" w:w="1234"/>
          </w:tcPr>
          <w:p>
            <w:r>
              <w:rPr>
                <w:rFonts w:ascii="Calibri" w:hAnsi="Calibri"/>
                <w:sz w:val="22"/>
              </w:rPr>
              <w:t>+16.8%</w:t>
            </w:r>
          </w:p>
        </w:tc>
        <w:tc>
          <w:tcPr>
            <w:tcW w:type="dxa" w:w="1234"/>
          </w:tcPr>
          <w:p>
            <w:r>
              <w:rPr>
                <w:rFonts w:ascii="Calibri" w:hAnsi="Calibri"/>
                <w:sz w:val="22"/>
              </w:rPr>
              <w:t>Strong growth; power gen + oil &amp; gas strength</w:t>
            </w:r>
          </w:p>
        </w:tc>
        <w:tc>
          <w:tcPr>
            <w:tcW w:type="dxa" w:w="1234"/>
          </w:tcPr>
          <w:p>
            <w:r>
              <w:rPr>
                <w:rFonts w:ascii="Calibri" w:hAnsi="Calibri"/>
                <w:sz w:val="22"/>
              </w:rPr>
              <w:t>N/A (qualitative)</w:t>
            </w:r>
          </w:p>
        </w:tc>
      </w:tr>
      <w:tr>
        <w:tc>
          <w:tcPr>
            <w:tcW w:type="dxa" w:w="1234"/>
          </w:tcPr>
          <w:p>
            <w:r>
              <w:rPr>
                <w:rFonts w:ascii="Calibri" w:hAnsi="Calibri"/>
                <w:sz w:val="22"/>
              </w:rPr>
              <w:t>Construction Industries Revenue ($B)</w:t>
            </w:r>
          </w:p>
        </w:tc>
        <w:tc>
          <w:tcPr>
            <w:tcW w:type="dxa" w:w="1234"/>
          </w:tcPr>
          <w:p>
            <w:r>
              <w:rPr>
                <w:rFonts w:ascii="Calibri" w:hAnsi="Calibri"/>
                <w:sz w:val="22"/>
              </w:rPr>
              <w:t>$7.10B</w:t>
            </w:r>
          </w:p>
        </w:tc>
        <w:tc>
          <w:tcPr>
            <w:tcW w:type="dxa" w:w="1234"/>
          </w:tcPr>
          <w:p>
            <w:r>
              <w:rPr>
                <w:rFonts w:ascii="Calibri" w:hAnsi="Calibri"/>
                <w:sz w:val="22"/>
              </w:rPr>
              <w:t>$6.12B</w:t>
            </w:r>
          </w:p>
        </w:tc>
        <w:tc>
          <w:tcPr>
            <w:tcW w:type="dxa" w:w="1234"/>
          </w:tcPr>
          <w:p>
            <w:r>
              <w:rPr>
                <w:rFonts w:ascii="Calibri" w:hAnsi="Calibri"/>
                <w:sz w:val="22"/>
              </w:rPr>
              <w:t>$7.34B</w:t>
            </w:r>
          </w:p>
        </w:tc>
        <w:tc>
          <w:tcPr>
            <w:tcW w:type="dxa" w:w="1234"/>
          </w:tcPr>
          <w:p>
            <w:r>
              <w:rPr>
                <w:rFonts w:ascii="Calibri" w:hAnsi="Calibri"/>
                <w:sz w:val="22"/>
              </w:rPr>
              <w:t>+19.9%</w:t>
            </w:r>
          </w:p>
        </w:tc>
        <w:tc>
          <w:tcPr>
            <w:tcW w:type="dxa" w:w="1234"/>
          </w:tcPr>
          <w:p>
            <w:r>
              <w:rPr>
                <w:rFonts w:ascii="Calibri" w:hAnsi="Calibri"/>
                <w:sz w:val="22"/>
              </w:rPr>
              <w:t>Strong growth; backlog + price support</w:t>
            </w:r>
          </w:p>
        </w:tc>
        <w:tc>
          <w:tcPr>
            <w:tcW w:type="dxa" w:w="1234"/>
          </w:tcPr>
          <w:p>
            <w:r>
              <w:rPr>
                <w:rFonts w:ascii="Calibri" w:hAnsi="Calibri"/>
                <w:sz w:val="22"/>
              </w:rPr>
              <w:t>N/A (qualitative)</w:t>
            </w:r>
          </w:p>
        </w:tc>
      </w:tr>
      <w:tr>
        <w:tc>
          <w:tcPr>
            <w:tcW w:type="dxa" w:w="1234"/>
          </w:tcPr>
          <w:p>
            <w:r>
              <w:rPr>
                <w:rFonts w:ascii="Calibri" w:hAnsi="Calibri"/>
                <w:sz w:val="22"/>
              </w:rPr>
              <w:t>Resource Industries Revenue ($B)</w:t>
            </w:r>
          </w:p>
        </w:tc>
        <w:tc>
          <w:tcPr>
            <w:tcW w:type="dxa" w:w="1234"/>
          </w:tcPr>
          <w:p>
            <w:r>
              <w:rPr>
                <w:rFonts w:ascii="Calibri" w:hAnsi="Calibri"/>
                <w:sz w:val="22"/>
              </w:rPr>
              <w:t>$3.71B</w:t>
            </w:r>
          </w:p>
        </w:tc>
        <w:tc>
          <w:tcPr>
            <w:tcW w:type="dxa" w:w="1234"/>
          </w:tcPr>
          <w:p>
            <w:r>
              <w:rPr>
                <w:rFonts w:ascii="Calibri" w:hAnsi="Calibri"/>
                <w:sz w:val="22"/>
              </w:rPr>
              <w:t>$3.79B</w:t>
            </w:r>
          </w:p>
        </w:tc>
        <w:tc>
          <w:tcPr>
            <w:tcW w:type="dxa" w:w="1234"/>
          </w:tcPr>
          <w:p>
            <w:r>
              <w:rPr>
                <w:rFonts w:ascii="Calibri" w:hAnsi="Calibri"/>
                <w:sz w:val="22"/>
              </w:rPr>
              <w:t>$4.13B</w:t>
            </w:r>
          </w:p>
        </w:tc>
        <w:tc>
          <w:tcPr>
            <w:tcW w:type="dxa" w:w="1234"/>
          </w:tcPr>
          <w:p>
            <w:r>
              <w:rPr>
                <w:rFonts w:ascii="Calibri" w:hAnsi="Calibri"/>
                <w:sz w:val="22"/>
              </w:rPr>
              <w:t>+9.0%</w:t>
            </w:r>
          </w:p>
        </w:tc>
        <w:tc>
          <w:tcPr>
            <w:tcW w:type="dxa" w:w="1234"/>
          </w:tcPr>
          <w:p>
            <w:r>
              <w:rPr>
                <w:rFonts w:ascii="Calibri" w:hAnsi="Calibri"/>
                <w:sz w:val="22"/>
              </w:rPr>
              <w:t>Strong growth; higher sales to users + price</w:t>
            </w:r>
          </w:p>
        </w:tc>
        <w:tc>
          <w:tcPr>
            <w:tcW w:type="dxa" w:w="1234"/>
          </w:tcPr>
          <w:p>
            <w:r>
              <w:rPr>
                <w:rFonts w:ascii="Calibri" w:hAnsi="Calibri"/>
                <w:sz w:val="22"/>
              </w:rPr>
              <w:t>N/A (qualitative)</w:t>
            </w:r>
          </w:p>
        </w:tc>
      </w:tr>
      <w:tr>
        <w:tc>
          <w:tcPr>
            <w:tcW w:type="dxa" w:w="1234"/>
          </w:tcPr>
          <w:p>
            <w:r>
              <w:rPr>
                <w:rFonts w:ascii="Calibri" w:hAnsi="Calibri"/>
                <w:sz w:val="22"/>
              </w:rPr>
              <w:t>Backlog ($B)</w:t>
            </w:r>
          </w:p>
        </w:tc>
        <w:tc>
          <w:tcPr>
            <w:tcW w:type="dxa" w:w="1234"/>
          </w:tcPr>
          <w:p>
            <w:r>
              <w:rPr>
                <w:rFonts w:ascii="Calibri" w:hAnsi="Calibri"/>
                <w:sz w:val="22"/>
              </w:rPr>
              <w:t>$63.0B (record)</w:t>
            </w:r>
          </w:p>
        </w:tc>
        <w:tc>
          <w:tcPr>
            <w:tcW w:type="dxa" w:w="1234"/>
          </w:tcPr>
          <w:p>
            <w:r>
              <w:rPr>
                <w:rFonts w:ascii="Calibri" w:hAnsi="Calibri"/>
                <w:sz w:val="22"/>
              </w:rPr>
              <w:t>$37.5B</w:t>
            </w:r>
          </w:p>
        </w:tc>
        <w:tc>
          <w:tcPr>
            <w:tcW w:type="dxa" w:w="1234"/>
          </w:tcPr>
          <w:p>
            <w:r>
              <w:rPr>
                <w:rFonts w:ascii="Calibri" w:hAnsi="Calibri"/>
                <w:sz w:val="22"/>
              </w:rPr>
              <w:t>$62.7B</w:t>
            </w:r>
          </w:p>
        </w:tc>
        <w:tc>
          <w:tcPr>
            <w:tcW w:type="dxa" w:w="1234"/>
          </w:tcPr>
          <w:p>
            <w:r>
              <w:rPr>
                <w:rFonts w:ascii="Calibri" w:hAnsi="Calibri"/>
                <w:sz w:val="22"/>
              </w:rPr>
              <w:t>+67.2%</w:t>
            </w:r>
          </w:p>
        </w:tc>
        <w:tc>
          <w:tcPr>
            <w:tcW w:type="dxa" w:w="1234"/>
          </w:tcPr>
          <w:p>
            <w:r>
              <w:rPr>
                <w:rFonts w:ascii="Calibri" w:hAnsi="Calibri"/>
                <w:sz w:val="22"/>
              </w:rPr>
              <w:t>No specific guidance; expected to remain elevated</w:t>
            </w:r>
          </w:p>
        </w:tc>
        <w:tc>
          <w:tcPr>
            <w:tcW w:type="dxa" w:w="1234"/>
          </w:tcPr>
          <w:p>
            <w:r>
              <w:rPr>
                <w:rFonts w:ascii="Calibri" w:hAnsi="Calibri"/>
                <w:sz w:val="22"/>
              </w:rPr>
              <w:t>N/A</w:t>
            </w:r>
          </w:p>
        </w:tc>
      </w:tr>
      <w:tr>
        <w:tc>
          <w:tcPr>
            <w:tcW w:type="dxa" w:w="1234"/>
          </w:tcPr>
          <w:p>
            <w:r>
              <w:rPr>
                <w:rFonts w:ascii="Calibri" w:hAnsi="Calibri"/>
                <w:sz w:val="22"/>
              </w:rPr>
              <w:t>MP&amp;E Free Cash Flow ($B)</w:t>
            </w:r>
          </w:p>
        </w:tc>
        <w:tc>
          <w:tcPr>
            <w:tcW w:type="dxa" w:w="1234"/>
          </w:tcPr>
          <w:p>
            <w:r>
              <w:rPr>
                <w:rFonts w:ascii="Calibri" w:hAnsi="Calibri"/>
                <w:sz w:val="22"/>
              </w:rPr>
              <w:t>$0.58B</w:t>
            </w:r>
          </w:p>
        </w:tc>
        <w:tc>
          <w:tcPr>
            <w:tcW w:type="dxa" w:w="1234"/>
          </w:tcPr>
          <w:p>
            <w:r>
              <w:rPr>
                <w:rFonts w:ascii="Calibri" w:hAnsi="Calibri"/>
                <w:sz w:val="22"/>
              </w:rPr>
              <w:t>$2.36B</w:t>
            </w:r>
          </w:p>
        </w:tc>
        <w:tc>
          <w:tcPr>
            <w:tcW w:type="dxa" w:w="1234"/>
          </w:tcPr>
          <w:p>
            <w:r>
              <w:rPr>
                <w:rFonts w:ascii="Calibri" w:hAnsi="Calibri"/>
                <w:sz w:val="22"/>
              </w:rPr>
              <w:t>$3.42B</w:t>
            </w:r>
          </w:p>
        </w:tc>
        <w:tc>
          <w:tcPr>
            <w:tcW w:type="dxa" w:w="1234"/>
          </w:tcPr>
          <w:p>
            <w:r>
              <w:rPr>
                <w:rFonts w:ascii="Calibri" w:hAnsi="Calibri"/>
                <w:sz w:val="22"/>
              </w:rPr>
              <w:t>+44.8%</w:t>
            </w:r>
          </w:p>
        </w:tc>
        <w:tc>
          <w:tcPr>
            <w:tcW w:type="dxa" w:w="1234"/>
          </w:tcPr>
          <w:p>
            <w:r>
              <w:rPr>
                <w:rFonts w:ascii="Calibri" w:hAnsi="Calibri"/>
                <w:sz w:val="22"/>
              </w:rPr>
              <w:t>FY2026 FCF &gt; $9.5B (raised from prior guide)</w:t>
            </w:r>
          </w:p>
        </w:tc>
        <w:tc>
          <w:tcPr>
            <w:tcW w:type="dxa" w:w="1234"/>
          </w:tcPr>
          <w:p>
            <w:r>
              <w:rPr>
                <w:rFonts w:ascii="Calibri" w:hAnsi="Calibri"/>
                <w:sz w:val="22"/>
              </w:rPr>
              <w:t>N/A (qualitative)</w:t>
            </w:r>
          </w:p>
        </w:tc>
      </w:tr>
    </w:tbl>
    <w:p>
      <w:r>
        <w:rPr>
          <w:rFonts w:ascii="Calibri" w:hAnsi="Calibri"/>
          <w:i/>
          <w:color w:val="525866"/>
          <w:sz w:val="22"/>
        </w:rPr>
        <w:t>Source: Visible Alpha consensus and actuals data. Q2 2026 consensus as of August 3, 2026. Q1 2026 actuals and Q2 2025 actuals from Visible Alpha reported figures. Guidance language sourced from CAT Q1 2026 earnings call transcript (April 30,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Total Consolidated Revenue and Diluted EPS —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$17.42B</w:t>
            </w:r>
          </w:p>
        </w:tc>
        <w:tc>
          <w:tcPr>
            <w:tcW w:type="dxa" w:w="1440"/>
          </w:tcPr>
          <w:p>
            <w:r>
              <w:rPr>
                <w:rFonts w:ascii="Calibri" w:hAnsi="Calibri"/>
                <w:sz w:val="22"/>
              </w:rPr>
              <w:t>$16.21B</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$5.54</w:t>
            </w:r>
          </w:p>
        </w:tc>
        <w:tc>
          <w:tcPr>
            <w:tcW w:type="dxa" w:w="1440"/>
          </w:tcPr>
          <w:p>
            <w:r>
              <w:rPr>
                <w:rFonts w:ascii="Calibri" w:hAnsi="Calibri"/>
                <w:sz w:val="22"/>
              </w:rPr>
              <w:t>$4.65</w:t>
            </w:r>
          </w:p>
        </w:tc>
        <w:tc>
          <w:tcPr>
            <w:tcW w:type="dxa" w:w="1440"/>
          </w:tcPr>
          <w:p>
            <w:r>
              <w:rPr>
                <w:rFonts w:ascii="Calibri" w:hAnsi="Calibri"/>
                <w:b/>
                <w:color w:val="30A46C"/>
                <w:sz w:val="22"/>
              </w:rPr>
              <w:t>+19.1%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$19.13B</w:t>
            </w:r>
          </w:p>
        </w:tc>
        <w:tc>
          <w:tcPr>
            <w:tcW w:type="dxa" w:w="1440"/>
          </w:tcPr>
          <w:p>
            <w:r>
              <w:rPr>
                <w:rFonts w:ascii="Calibri" w:hAnsi="Calibri"/>
                <w:sz w:val="22"/>
              </w:rPr>
              <w:t>$17.79B</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$5.16</w:t>
            </w:r>
          </w:p>
        </w:tc>
        <w:tc>
          <w:tcPr>
            <w:tcW w:type="dxa" w:w="1440"/>
          </w:tcPr>
          <w:p>
            <w:r>
              <w:rPr>
                <w:rFonts w:ascii="Calibri" w:hAnsi="Calibri"/>
                <w:sz w:val="22"/>
              </w:rPr>
              <w:t>$4.68</w:t>
            </w:r>
          </w:p>
        </w:tc>
        <w:tc>
          <w:tcPr>
            <w:tcW w:type="dxa" w:w="1440"/>
          </w:tcPr>
          <w:p>
            <w:r>
              <w:rPr>
                <w:rFonts w:ascii="Calibri" w:hAnsi="Calibri"/>
                <w:b/>
                <w:color w:val="30A46C"/>
                <w:sz w:val="22"/>
              </w:rPr>
              <w:t>+10.3%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$17.64B</w:t>
            </w:r>
          </w:p>
        </w:tc>
        <w:tc>
          <w:tcPr>
            <w:tcW w:type="dxa" w:w="1440"/>
          </w:tcPr>
          <w:p>
            <w:r>
              <w:rPr>
                <w:rFonts w:ascii="Calibri" w:hAnsi="Calibri"/>
                <w:sz w:val="22"/>
              </w:rPr>
              <w:t>$16.64B</w:t>
            </w:r>
          </w:p>
        </w:tc>
        <w:tc>
          <w:tcPr>
            <w:tcW w:type="dxa" w:w="1440"/>
          </w:tcPr>
          <w:p>
            <w:r>
              <w:rPr>
                <w:rFonts w:ascii="Calibri" w:hAnsi="Calibri"/>
                <w:b/>
                <w:color w:val="30A46C"/>
                <w:sz w:val="22"/>
              </w:rPr>
              <w:t>+6.0%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$4.95</w:t>
            </w:r>
          </w:p>
        </w:tc>
        <w:tc>
          <w:tcPr>
            <w:tcW w:type="dxa" w:w="1440"/>
          </w:tcPr>
          <w:p>
            <w:r>
              <w:rPr>
                <w:rFonts w:ascii="Calibri" w:hAnsi="Calibri"/>
                <w:sz w:val="22"/>
              </w:rPr>
              <w:t>$4.50</w:t>
            </w:r>
          </w:p>
        </w:tc>
        <w:tc>
          <w:tcPr>
            <w:tcW w:type="dxa" w:w="1440"/>
          </w:tcPr>
          <w:p>
            <w:r>
              <w:rPr>
                <w:rFonts w:ascii="Calibri" w:hAnsi="Calibri"/>
                <w:b/>
                <w:color w:val="30A46C"/>
                <w:sz w:val="22"/>
              </w:rPr>
              <w:t>+10.0%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$16.57B</w:t>
            </w:r>
          </w:p>
        </w:tc>
        <w:tc>
          <w:tcPr>
            <w:tcW w:type="dxa" w:w="1440"/>
          </w:tcPr>
          <w:p>
            <w:r>
              <w:rPr>
                <w:rFonts w:ascii="Calibri" w:hAnsi="Calibri"/>
                <w:sz w:val="22"/>
              </w:rPr>
              <w:t>$16.38B</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$4.72</w:t>
            </w:r>
          </w:p>
        </w:tc>
        <w:tc>
          <w:tcPr>
            <w:tcW w:type="dxa" w:w="1440"/>
          </w:tcPr>
          <w:p>
            <w:r>
              <w:rPr>
                <w:rFonts w:ascii="Calibri" w:hAnsi="Calibri"/>
                <w:sz w:val="22"/>
              </w:rPr>
              <w:t>$4.91</w:t>
            </w:r>
          </w:p>
        </w:tc>
        <w:tc>
          <w:tcPr>
            <w:tcW w:type="dxa" w:w="1440"/>
          </w:tcPr>
          <w:p>
            <w:r>
              <w:rPr>
                <w:rFonts w:ascii="Calibri" w:hAnsi="Calibri"/>
                <w:b/>
                <w:color w:val="E5484D"/>
                <w:sz w:val="22"/>
              </w:rPr>
              <w:t>-3.9%</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$14.25B</w:t>
            </w:r>
          </w:p>
        </w:tc>
        <w:tc>
          <w:tcPr>
            <w:tcW w:type="dxa" w:w="1440"/>
          </w:tcPr>
          <w:p>
            <w:r>
              <w:rPr>
                <w:rFonts w:ascii="Calibri" w:hAnsi="Calibri"/>
                <w:sz w:val="22"/>
              </w:rPr>
              <w:t>$14.65B</w:t>
            </w:r>
          </w:p>
        </w:tc>
        <w:tc>
          <w:tcPr>
            <w:tcW w:type="dxa" w:w="1440"/>
          </w:tcPr>
          <w:p>
            <w:r>
              <w:rPr>
                <w:rFonts w:ascii="Calibri" w:hAnsi="Calibri"/>
                <w:b/>
                <w:color w:val="E5484D"/>
                <w:sz w:val="22"/>
              </w:rPr>
              <w:t>-2.7%</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$4.25</w:t>
            </w:r>
          </w:p>
        </w:tc>
        <w:tc>
          <w:tcPr>
            <w:tcW w:type="dxa" w:w="1440"/>
          </w:tcPr>
          <w:p>
            <w:r>
              <w:rPr>
                <w:rFonts w:ascii="Calibri" w:hAnsi="Calibri"/>
                <w:sz w:val="22"/>
              </w:rPr>
              <w:t>$4.25</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$16.22B</w:t>
            </w:r>
          </w:p>
        </w:tc>
        <w:tc>
          <w:tcPr>
            <w:tcW w:type="dxa" w:w="1440"/>
          </w:tcPr>
          <w:p>
            <w:r>
              <w:rPr>
                <w:rFonts w:ascii="Calibri" w:hAnsi="Calibri"/>
                <w:sz w:val="22"/>
              </w:rPr>
              <w:t>$16.69B</w:t>
            </w:r>
          </w:p>
        </w:tc>
        <w:tc>
          <w:tcPr>
            <w:tcW w:type="dxa" w:w="1440"/>
          </w:tcPr>
          <w:p>
            <w:r>
              <w:rPr>
                <w:rFonts w:ascii="Calibri" w:hAnsi="Calibri"/>
                <w:b/>
                <w:color w:val="E5484D"/>
                <w:sz w:val="22"/>
              </w:rPr>
              <w:t>-2.8%</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$5.14</w:t>
            </w:r>
          </w:p>
        </w:tc>
        <w:tc>
          <w:tcPr>
            <w:tcW w:type="dxa" w:w="1440"/>
          </w:tcPr>
          <w:p>
            <w:r>
              <w:rPr>
                <w:rFonts w:ascii="Calibri" w:hAnsi="Calibri"/>
                <w:sz w:val="22"/>
              </w:rPr>
              <w:t>$5.06</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$16.11B</w:t>
            </w:r>
          </w:p>
        </w:tc>
        <w:tc>
          <w:tcPr>
            <w:tcW w:type="dxa" w:w="1440"/>
          </w:tcPr>
          <w:p>
            <w:r>
              <w:rPr>
                <w:rFonts w:ascii="Calibri" w:hAnsi="Calibri"/>
                <w:sz w:val="22"/>
              </w:rPr>
              <w:t>$16.29B</w:t>
            </w:r>
          </w:p>
        </w:tc>
        <w:tc>
          <w:tcPr>
            <w:tcW w:type="dxa" w:w="1440"/>
          </w:tcPr>
          <w:p>
            <w:r>
              <w:rPr>
                <w:rFonts w:ascii="Calibri" w:hAnsi="Calibri"/>
                <w:b/>
                <w:color w:val="E5484D"/>
                <w:sz w:val="22"/>
              </w:rPr>
              <w:t>-1.1%</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$5.17</w:t>
            </w:r>
          </w:p>
        </w:tc>
        <w:tc>
          <w:tcPr>
            <w:tcW w:type="dxa" w:w="1440"/>
          </w:tcPr>
          <w:p>
            <w:r>
              <w:rPr>
                <w:rFonts w:ascii="Calibri" w:hAnsi="Calibri"/>
                <w:sz w:val="22"/>
              </w:rPr>
              <w:t>$5.36</w:t>
            </w:r>
          </w:p>
        </w:tc>
        <w:tc>
          <w:tcPr>
            <w:tcW w:type="dxa" w:w="1440"/>
          </w:tcPr>
          <w:p>
            <w:r>
              <w:rPr>
                <w:rFonts w:ascii="Calibri" w:hAnsi="Calibri"/>
                <w:b/>
                <w:color w:val="E5484D"/>
                <w:sz w:val="22"/>
              </w:rPr>
              <w:t>-3.5%</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$16.69B</w:t>
            </w:r>
          </w:p>
        </w:tc>
        <w:tc>
          <w:tcPr>
            <w:tcW w:type="dxa" w:w="1440"/>
          </w:tcPr>
          <w:p>
            <w:r>
              <w:rPr>
                <w:rFonts w:ascii="Calibri" w:hAnsi="Calibri"/>
                <w:sz w:val="22"/>
              </w:rPr>
              <w:t>$16.97B</w:t>
            </w:r>
          </w:p>
        </w:tc>
        <w:tc>
          <w:tcPr>
            <w:tcW w:type="dxa" w:w="1440"/>
          </w:tcPr>
          <w:p>
            <w:r>
              <w:rPr>
                <w:rFonts w:ascii="Calibri" w:hAnsi="Calibri"/>
                <w:b/>
                <w:color w:val="E5484D"/>
                <w:sz w:val="22"/>
              </w:rPr>
              <w:t>-1.6%</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$5.99</w:t>
            </w:r>
          </w:p>
        </w:tc>
        <w:tc>
          <w:tcPr>
            <w:tcW w:type="dxa" w:w="1440"/>
          </w:tcPr>
          <w:p>
            <w:r>
              <w:rPr>
                <w:rFonts w:ascii="Calibri" w:hAnsi="Calibri"/>
                <w:sz w:val="22"/>
              </w:rPr>
              <w:t>$5.54</w:t>
            </w:r>
          </w:p>
        </w:tc>
        <w:tc>
          <w:tcPr>
            <w:tcW w:type="dxa" w:w="1440"/>
          </w:tcPr>
          <w:p>
            <w:r>
              <w:rPr>
                <w:rFonts w:ascii="Calibri" w:hAnsi="Calibri"/>
                <w:b/>
                <w:color w:val="30A46C"/>
                <w:sz w:val="22"/>
              </w:rPr>
              <w:t>+8.1%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CAT has beaten revenue consensus in 3 of the last 4 quarters (and the last 3 in a row), with the most recent beats being the largest in magnitude (+7.5% in both Q4 2025 and Q1 2026); EPS beats have been consistent in the last 3 quarters after a soft patch in mid-2024 through Q1 2025, suggesting the current estimate trajectory is more conservative than management's guidance implies.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has shifted materially more confident since Q1 2026 earnings — full-year revenue guidance was raised to low double-digit growth and the long-term CAGR target was lifted. </w:t>
      </w:r>
      <w:r>
        <w:rPr>
          <w:rFonts w:ascii="Calibri" w:hAnsi="Calibri"/>
          <w:b/>
          <w:color w:val="525866"/>
          <w:sz w:val="22"/>
        </w:rPr>
        <w:t>The only post-earnings update was a 7.9% dividend increase on June 10, 2026</w:t>
      </w:r>
      <w:r>
        <w:rPr>
          <w:rFonts w:ascii="Calibri" w:hAnsi="Calibri"/>
          <w:color w:val="525866"/>
          <w:sz w:val="22"/>
        </w:rPr>
        <w:t>, signaling continued capital return confidence; no guidance revisions have been issued via 8-K or conference since the April 30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 Growth</w:t>
            </w:r>
          </w:p>
        </w:tc>
        <w:tc>
          <w:tcPr>
            <w:tcW w:type="dxa" w:w="1728"/>
          </w:tcPr>
          <w:p>
            <w:r>
              <w:rPr>
                <w:rFonts w:ascii="Calibri" w:hAnsi="Calibri"/>
                <w:sz w:val="22"/>
              </w:rPr>
              <w:t>Low double-digit growth (raised from prior guide)</w:t>
            </w:r>
          </w:p>
        </w:tc>
        <w:tc>
          <w:tcPr>
            <w:tcW w:type="dxa" w:w="1728"/>
          </w:tcPr>
          <w:p>
            <w:r>
              <w:rPr>
                <w:rFonts w:ascii="Calibri" w:hAnsi="Calibri"/>
                <w:sz w:val="22"/>
              </w:rPr>
              <w:t>—</w:t>
            </w:r>
          </w:p>
        </w:tc>
        <w:tc>
          <w:tcPr>
            <w:tcW w:type="dxa" w:w="1728"/>
          </w:tcPr>
          <w:p>
            <w:r>
              <w:rPr>
                <w:rFonts w:ascii="Calibri" w:hAnsi="Calibri"/>
                <w:sz w:val="22"/>
              </w:rPr>
              <w:t>~$76.5B (+~12% YoY)</w:t>
            </w:r>
          </w:p>
        </w:tc>
        <w:tc>
          <w:tcPr>
            <w:tcW w:type="dxa" w:w="1728"/>
          </w:tcPr>
          <w:p>
            <w:r>
              <w:rPr>
                <w:rFonts w:ascii="Calibri" w:hAnsi="Calibri"/>
                <w:sz w:val="22"/>
              </w:rPr>
              <w:t>No post-earnings revision; consensus tracking in line with guidance</w:t>
            </w:r>
          </w:p>
        </w:tc>
      </w:tr>
      <w:tr>
        <w:tc>
          <w:tcPr>
            <w:tcW w:type="dxa" w:w="1728"/>
          </w:tcPr>
          <w:p>
            <w:r>
              <w:rPr>
                <w:rFonts w:ascii="Calibri" w:hAnsi="Calibri"/>
                <w:sz w:val="22"/>
              </w:rPr>
              <w:t>Q2 2026 Revenue</w:t>
            </w:r>
          </w:p>
        </w:tc>
        <w:tc>
          <w:tcPr>
            <w:tcW w:type="dxa" w:w="1728"/>
          </w:tcPr>
          <w:p>
            <w:r>
              <w:rPr>
                <w:rFonts w:ascii="Calibri" w:hAnsi="Calibri"/>
                <w:sz w:val="22"/>
              </w:rPr>
              <w:t>Strong growth vs. prior year; volume + price in all 3 segments</w:t>
            </w:r>
          </w:p>
        </w:tc>
        <w:tc>
          <w:tcPr>
            <w:tcW w:type="dxa" w:w="1728"/>
          </w:tcPr>
          <w:p>
            <w:r>
              <w:rPr>
                <w:rFonts w:ascii="Calibri" w:hAnsi="Calibri"/>
                <w:sz w:val="22"/>
              </w:rPr>
              <w:t>—</w:t>
            </w:r>
          </w:p>
        </w:tc>
        <w:tc>
          <w:tcPr>
            <w:tcW w:type="dxa" w:w="1728"/>
          </w:tcPr>
          <w:p>
            <w:r>
              <w:rPr>
                <w:rFonts w:ascii="Calibri" w:hAnsi="Calibri"/>
                <w:sz w:val="22"/>
              </w:rPr>
              <w:t>$18.95B (+14.3% YoY)</w:t>
            </w:r>
          </w:p>
        </w:tc>
        <w:tc>
          <w:tcPr>
            <w:tcW w:type="dxa" w:w="1728"/>
          </w:tcPr>
          <w:p>
            <w:r>
              <w:rPr>
                <w:rFonts w:ascii="Calibri" w:hAnsi="Calibri"/>
                <w:sz w:val="22"/>
              </w:rPr>
              <w:t>No post-earnings revision; qualitative guidance consistent with consensus</w:t>
            </w:r>
          </w:p>
        </w:tc>
      </w:tr>
      <w:tr>
        <w:tc>
          <w:tcPr>
            <w:tcW w:type="dxa" w:w="1728"/>
          </w:tcPr>
          <w:p>
            <w:r>
              <w:rPr>
                <w:rFonts w:ascii="Calibri" w:hAnsi="Calibri"/>
                <w:sz w:val="22"/>
              </w:rPr>
              <w:t>Q2 2026 Adj. Op. Margin</w:t>
            </w:r>
          </w:p>
        </w:tc>
        <w:tc>
          <w:tcPr>
            <w:tcW w:type="dxa" w:w="1728"/>
          </w:tcPr>
          <w:p>
            <w:r>
              <w:rPr>
                <w:rFonts w:ascii="Calibri" w:hAnsi="Calibri"/>
                <w:sz w:val="22"/>
              </w:rPr>
              <w:t>Higher margin % vs. prior year (incl. tariffs); top half of target range ex-tariffs</w:t>
            </w:r>
          </w:p>
        </w:tc>
        <w:tc>
          <w:tcPr>
            <w:tcW w:type="dxa" w:w="1728"/>
          </w:tcPr>
          <w:p>
            <w:r>
              <w:rPr>
                <w:rFonts w:ascii="Calibri" w:hAnsi="Calibri"/>
                <w:sz w:val="22"/>
              </w:rPr>
              <w:t>—</w:t>
            </w:r>
          </w:p>
        </w:tc>
        <w:tc>
          <w:tcPr>
            <w:tcW w:type="dxa" w:w="1728"/>
          </w:tcPr>
          <w:p>
            <w:r>
              <w:rPr>
                <w:rFonts w:ascii="Calibri" w:hAnsi="Calibri"/>
                <w:sz w:val="22"/>
              </w:rPr>
              <w:t>18.74%</w:t>
            </w:r>
          </w:p>
        </w:tc>
        <w:tc>
          <w:tcPr>
            <w:tcW w:type="dxa" w:w="1728"/>
          </w:tcPr>
          <w:p>
            <w:r>
              <w:rPr>
                <w:rFonts w:ascii="Calibri" w:hAnsi="Calibri"/>
                <w:sz w:val="22"/>
              </w:rPr>
              <w:t>No post-earnings revision; consensus implies ~114 bps YoY expansion</w:t>
            </w:r>
          </w:p>
        </w:tc>
      </w:tr>
      <w:tr>
        <w:tc>
          <w:tcPr>
            <w:tcW w:type="dxa" w:w="1728"/>
          </w:tcPr>
          <w:p>
            <w:r>
              <w:rPr>
                <w:rFonts w:ascii="Calibri" w:hAnsi="Calibri"/>
                <w:sz w:val="22"/>
              </w:rPr>
              <w:t>FY2026 Tariff Costs</w:t>
            </w:r>
          </w:p>
        </w:tc>
        <w:tc>
          <w:tcPr>
            <w:tcW w:type="dxa" w:w="1728"/>
          </w:tcPr>
          <w:p>
            <w:r>
              <w:rPr>
                <w:rFonts w:ascii="Calibri" w:hAnsi="Calibri"/>
                <w:sz w:val="22"/>
              </w:rPr>
              <w:t>$2.2B–$2.4B (reduced from $2.6B Jan estimate; IEEPA removed, Section 122 added)</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No post-earnings revision; Q2 tariff cost guided at ~$700M (~$300M headwind vs. Q2 2025)</w:t>
            </w:r>
          </w:p>
        </w:tc>
      </w:tr>
      <w:tr>
        <w:tc>
          <w:tcPr>
            <w:tcW w:type="dxa" w:w="1728"/>
          </w:tcPr>
          <w:p>
            <w:r>
              <w:rPr>
                <w:rFonts w:ascii="Calibri" w:hAnsi="Calibri"/>
                <w:sz w:val="22"/>
              </w:rPr>
              <w:t>Q2 2026 Tariff Costs</w:t>
            </w:r>
          </w:p>
        </w:tc>
        <w:tc>
          <w:tcPr>
            <w:tcW w:type="dxa" w:w="1728"/>
          </w:tcPr>
          <w:p>
            <w:r>
              <w:rPr>
                <w:rFonts w:ascii="Calibri" w:hAnsi="Calibri"/>
                <w:sz w:val="22"/>
              </w:rPr>
              <w:t>~$700M (50% in CI, 25% each in P&amp;E and RI)</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No post-earnings revision; headwind vs. ~$400M in Q2 2025</w:t>
            </w:r>
          </w:p>
        </w:tc>
      </w:tr>
      <w:tr>
        <w:tc>
          <w:tcPr>
            <w:tcW w:type="dxa" w:w="1728"/>
          </w:tcPr>
          <w:p>
            <w:r>
              <w:rPr>
                <w:rFonts w:ascii="Calibri" w:hAnsi="Calibri"/>
                <w:sz w:val="22"/>
              </w:rPr>
              <w:t>FY2026 MP&amp;E Free Cash Flow</w:t>
            </w:r>
          </w:p>
        </w:tc>
        <w:tc>
          <w:tcPr>
            <w:tcW w:type="dxa" w:w="1728"/>
          </w:tcPr>
          <w:p>
            <w:r>
              <w:rPr>
                <w:rFonts w:ascii="Calibri" w:hAnsi="Calibri"/>
                <w:sz w:val="22"/>
              </w:rPr>
              <w:t>Higher than $9.5B reported in 2025 (raised from prior guide)</w:t>
            </w:r>
          </w:p>
        </w:tc>
        <w:tc>
          <w:tcPr>
            <w:tcW w:type="dxa" w:w="1728"/>
          </w:tcPr>
          <w:p>
            <w:r>
              <w:rPr>
                <w:rFonts w:ascii="Calibri" w:hAnsi="Calibri"/>
                <w:sz w:val="22"/>
              </w:rPr>
              <w:t>—</w:t>
            </w:r>
          </w:p>
        </w:tc>
        <w:tc>
          <w:tcPr>
            <w:tcW w:type="dxa" w:w="1728"/>
          </w:tcPr>
          <w:p>
            <w:r>
              <w:rPr>
                <w:rFonts w:ascii="Calibri" w:hAnsi="Calibri"/>
                <w:sz w:val="22"/>
              </w:rPr>
              <w:t>$9.56B</w:t>
            </w:r>
          </w:p>
        </w:tc>
        <w:tc>
          <w:tcPr>
            <w:tcW w:type="dxa" w:w="1728"/>
          </w:tcPr>
          <w:p>
            <w:r>
              <w:rPr>
                <w:rFonts w:ascii="Calibri" w:hAnsi="Calibri"/>
                <w:sz w:val="22"/>
              </w:rPr>
              <w:t>No post-earnings revision; consensus tracking at low end of implied range</w:t>
            </w:r>
          </w:p>
        </w:tc>
      </w:tr>
      <w:tr>
        <w:tc>
          <w:tcPr>
            <w:tcW w:type="dxa" w:w="1728"/>
          </w:tcPr>
          <w:p>
            <w:r>
              <w:rPr>
                <w:rFonts w:ascii="Calibri" w:hAnsi="Calibri"/>
                <w:sz w:val="22"/>
              </w:rPr>
              <w:t>FY2026 CapEx</w:t>
            </w:r>
          </w:p>
        </w:tc>
        <w:tc>
          <w:tcPr>
            <w:tcW w:type="dxa" w:w="1728"/>
          </w:tcPr>
          <w:p>
            <w:r>
              <w:rPr>
                <w:rFonts w:ascii="Calibri" w:hAnsi="Calibri"/>
                <w:sz w:val="22"/>
              </w:rPr>
              <w:t>~$3.5B</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No post-earnings revision; MP&amp;E CapEx to avg. 4–5% of MP&amp;E sales through 2030</w:t>
            </w:r>
          </w:p>
        </w:tc>
      </w:tr>
      <w:tr>
        <w:tc>
          <w:tcPr>
            <w:tcW w:type="dxa" w:w="1728"/>
          </w:tcPr>
          <w:p>
            <w:r>
              <w:rPr>
                <w:rFonts w:ascii="Calibri" w:hAnsi="Calibri"/>
                <w:sz w:val="22"/>
              </w:rPr>
              <w:t>Quarterly Dividend</w:t>
            </w:r>
          </w:p>
        </w:tc>
        <w:tc>
          <w:tcPr>
            <w:tcW w:type="dxa" w:w="1728"/>
          </w:tcPr>
          <w:p>
            <w:r>
              <w:rPr>
                <w:rFonts w:ascii="Calibri" w:hAnsi="Calibri"/>
                <w:sz w:val="22"/>
              </w:rPr>
              <w:t>$1.51/share (prior rate)</w:t>
            </w:r>
          </w:p>
        </w:tc>
        <w:tc>
          <w:tcPr>
            <w:tcW w:type="dxa" w:w="1728"/>
          </w:tcPr>
          <w:p>
            <w:r>
              <w:rPr>
                <w:rFonts w:ascii="Calibri" w:hAnsi="Calibri"/>
                <w:sz w:val="22"/>
              </w:rPr>
              <w:t>≥ $1.63/share (+7.9%)</w:t>
            </w:r>
          </w:p>
        </w:tc>
        <w:tc>
          <w:tcPr>
            <w:tcW w:type="dxa" w:w="1728"/>
          </w:tcPr>
          <w:p>
            <w:r>
              <w:rPr>
                <w:rFonts w:ascii="Calibri" w:hAnsi="Calibri"/>
                <w:sz w:val="22"/>
              </w:rPr>
              <w:t>$1.63/share</w:t>
            </w:r>
          </w:p>
        </w:tc>
        <w:tc>
          <w:tcPr>
            <w:tcW w:type="dxa" w:w="1728"/>
          </w:tcPr>
          <w:p>
            <w:r>
              <w:rPr>
                <w:rFonts w:ascii="Calibri" w:hAnsi="Calibri"/>
                <w:sz w:val="22"/>
              </w:rPr>
              <w:t>↑ Raised via 8-K June 10, 2026; signals strong FCF confidence; payable Aug 19,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modestly higher since the Q1 2026 print, tracking management's raised guidance. </w:t>
      </w:r>
      <w:r>
        <w:rPr>
          <w:rFonts w:ascii="Calibri" w:hAnsi="Calibri"/>
          <w:b/>
          <w:color w:val="525866"/>
          <w:sz w:val="22"/>
        </w:rPr>
        <w:t>The Q2 2026 EPS estimate drifted slightly lower ($6.14 → $6.10) while revenue moved higher</w:t>
      </w:r>
      <w:r>
        <w:rPr>
          <w:rFonts w:ascii="Calibri" w:hAnsi="Calibri"/>
          <w:color w:val="525866"/>
          <w:sz w:val="22"/>
        </w:rPr>
        <w:t xml:space="preserve"> — a pattern consistent with analysts pricing in the ~$700M tariff headwind while crediting volume/price upside; the gap represents modest cushion rather than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Q2 2026</w:t>
            </w:r>
          </w:p>
        </w:tc>
        <w:tc>
          <w:tcPr>
            <w:tcW w:type="dxa" w:w="1080"/>
          </w:tcPr>
          <w:p>
            <w:r>
              <w:rPr>
                <w:rFonts w:ascii="Calibri" w:hAnsi="Calibri"/>
                <w:sz w:val="22"/>
              </w:rPr>
              <w:t>$19.23B</w:t>
            </w:r>
          </w:p>
        </w:tc>
        <w:tc>
          <w:tcPr>
            <w:tcW w:type="dxa" w:w="1080"/>
          </w:tcPr>
          <w:p>
            <w:r>
              <w:rPr>
                <w:rFonts w:ascii="Calibri" w:hAnsi="Calibri"/>
                <w:sz w:val="22"/>
              </w:rPr>
              <w:t>$18.95B</w:t>
            </w:r>
          </w:p>
        </w:tc>
        <w:tc>
          <w:tcPr>
            <w:tcW w:type="dxa" w:w="1080"/>
          </w:tcPr>
          <w:p>
            <w:r>
              <w:rPr>
                <w:rFonts w:ascii="Calibri" w:hAnsi="Calibri"/>
                <w:b/>
                <w:color w:val="E5484D"/>
                <w:sz w:val="22"/>
              </w:rPr>
              <w:t>-1.5%</w:t>
            </w:r>
          </w:p>
        </w:tc>
        <w:tc>
          <w:tcPr>
            <w:tcW w:type="dxa" w:w="1080"/>
          </w:tcPr>
          <w:p>
            <w:r>
              <w:rPr>
                <w:rFonts w:ascii="Calibri" w:hAnsi="Calibri"/>
                <w:sz w:val="22"/>
              </w:rPr>
              <w:t>Strong growth vs. prior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w:t>
            </w:r>
          </w:p>
        </w:tc>
      </w:tr>
      <w:tr>
        <w:tc>
          <w:tcPr>
            <w:tcW w:type="dxa" w:w="1080"/>
          </w:tcPr>
          <w:p>
            <w:r>
              <w:rPr>
                <w:rFonts w:ascii="Calibri" w:hAnsi="Calibri"/>
                <w:sz w:val="22"/>
              </w:rPr>
              <w:t>Op. EPS — Q2 2026</w:t>
            </w:r>
          </w:p>
        </w:tc>
        <w:tc>
          <w:tcPr>
            <w:tcW w:type="dxa" w:w="1080"/>
          </w:tcPr>
          <w:p>
            <w:r>
              <w:rPr>
                <w:rFonts w:ascii="Calibri" w:hAnsi="Calibri"/>
                <w:sz w:val="22"/>
              </w:rPr>
              <w:t>$6.14</w:t>
            </w:r>
          </w:p>
        </w:tc>
        <w:tc>
          <w:tcPr>
            <w:tcW w:type="dxa" w:w="1080"/>
          </w:tcPr>
          <w:p>
            <w:r>
              <w:rPr>
                <w:rFonts w:ascii="Calibri" w:hAnsi="Calibri"/>
                <w:sz w:val="22"/>
              </w:rPr>
              <w:t>$6.10</w:t>
            </w:r>
          </w:p>
        </w:tc>
        <w:tc>
          <w:tcPr>
            <w:tcW w:type="dxa" w:w="1080"/>
          </w:tcPr>
          <w:p>
            <w:r>
              <w:rPr>
                <w:rFonts w:ascii="Calibri" w:hAnsi="Calibri"/>
                <w:sz w:val="22"/>
              </w:rPr>
              <w:t>-0.6%</w:t>
            </w:r>
          </w:p>
        </w:tc>
        <w:tc>
          <w:tcPr>
            <w:tcW w:type="dxa" w:w="1080"/>
          </w:tcPr>
          <w:p>
            <w:r>
              <w:rPr>
                <w:rFonts w:ascii="Calibri" w:hAnsi="Calibri"/>
                <w:sz w:val="22"/>
              </w:rPr>
              <w:t>Higher margins vs. prior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w:t>
            </w:r>
          </w:p>
        </w:tc>
      </w:tr>
      <w:tr>
        <w:tc>
          <w:tcPr>
            <w:tcW w:type="dxa" w:w="1080"/>
          </w:tcPr>
          <w:p>
            <w:r>
              <w:rPr>
                <w:rFonts w:ascii="Calibri" w:hAnsi="Calibri"/>
                <w:sz w:val="22"/>
              </w:rPr>
              <w:t>Revenue — FY2026</w:t>
            </w:r>
          </w:p>
        </w:tc>
        <w:tc>
          <w:tcPr>
            <w:tcW w:type="dxa" w:w="1080"/>
          </w:tcPr>
          <w:p>
            <w:r>
              <w:rPr>
                <w:rFonts w:ascii="Calibri" w:hAnsi="Calibri"/>
                <w:sz w:val="22"/>
              </w:rPr>
              <w:t>$76.74B</w:t>
            </w:r>
          </w:p>
        </w:tc>
        <w:tc>
          <w:tcPr>
            <w:tcW w:type="dxa" w:w="1080"/>
          </w:tcPr>
          <w:p>
            <w:r>
              <w:rPr>
                <w:rFonts w:ascii="Calibri" w:hAnsi="Calibri"/>
                <w:sz w:val="22"/>
              </w:rPr>
              <w:t>$76.47B</w:t>
            </w:r>
          </w:p>
        </w:tc>
        <w:tc>
          <w:tcPr>
            <w:tcW w:type="dxa" w:w="1080"/>
          </w:tcPr>
          <w:p>
            <w:r>
              <w:rPr>
                <w:rFonts w:ascii="Calibri" w:hAnsi="Calibri"/>
                <w:sz w:val="22"/>
              </w:rPr>
              <w:t>-0.4%</w:t>
            </w:r>
          </w:p>
        </w:tc>
        <w:tc>
          <w:tcPr>
            <w:tcW w:type="dxa" w:w="1080"/>
          </w:tcPr>
          <w:p>
            <w:r>
              <w:rPr>
                <w:rFonts w:ascii="Calibri" w:hAnsi="Calibri"/>
                <w:sz w:val="22"/>
              </w:rPr>
              <w:t>Low 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Op. EPS — FY2026</w:t>
            </w:r>
          </w:p>
        </w:tc>
        <w:tc>
          <w:tcPr>
            <w:tcW w:type="dxa" w:w="1080"/>
          </w:tcPr>
          <w:p>
            <w:r>
              <w:rPr>
                <w:rFonts w:ascii="Calibri" w:hAnsi="Calibri"/>
                <w:sz w:val="22"/>
              </w:rPr>
              <w:t>$24.51</w:t>
            </w:r>
          </w:p>
        </w:tc>
        <w:tc>
          <w:tcPr>
            <w:tcW w:type="dxa" w:w="1080"/>
          </w:tcPr>
          <w:p>
            <w:r>
              <w:rPr>
                <w:rFonts w:ascii="Calibri" w:hAnsi="Calibri"/>
                <w:sz w:val="22"/>
              </w:rPr>
              <w:t>$24.50</w:t>
            </w:r>
          </w:p>
        </w:tc>
        <w:tc>
          <w:tcPr>
            <w:tcW w:type="dxa" w:w="1080"/>
          </w:tcPr>
          <w:p>
            <w:r>
              <w:rPr>
                <w:rFonts w:ascii="Calibri" w:hAnsi="Calibri"/>
                <w:sz w:val="22"/>
              </w:rPr>
              <w:t>0.0%</w:t>
            </w:r>
          </w:p>
        </w:tc>
        <w:tc>
          <w:tcPr>
            <w:tcW w:type="dxa" w:w="1080"/>
          </w:tcPr>
          <w:p>
            <w:r>
              <w:rPr>
                <w:rFonts w:ascii="Calibri" w:hAnsi="Calibri"/>
                <w:sz w:val="22"/>
              </w:rPr>
              <w:t>Near bottom of target range (incl. tariffs)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Stable; tariff drag well-understood</w:t>
            </w:r>
          </w:p>
        </w:tc>
      </w:tr>
      <w:tr>
        <w:tc>
          <w:tcPr>
            <w:tcW w:type="dxa" w:w="1080"/>
          </w:tcPr>
          <w:p>
            <w:r>
              <w:rPr>
                <w:rFonts w:ascii="Calibri" w:hAnsi="Calibri"/>
                <w:sz w:val="22"/>
              </w:rPr>
              <w:t>P&amp;E Revenue — Q2 2026</w:t>
            </w:r>
          </w:p>
        </w:tc>
        <w:tc>
          <w:tcPr>
            <w:tcW w:type="dxa" w:w="1080"/>
          </w:tcPr>
          <w:p>
            <w:r>
              <w:rPr>
                <w:rFonts w:ascii="Calibri" w:hAnsi="Calibri"/>
                <w:sz w:val="22"/>
              </w:rPr>
              <w:t>$6.70B</w:t>
            </w:r>
          </w:p>
        </w:tc>
        <w:tc>
          <w:tcPr>
            <w:tcW w:type="dxa" w:w="1080"/>
          </w:tcPr>
          <w:p>
            <w:r>
              <w:rPr>
                <w:rFonts w:ascii="Calibri" w:hAnsi="Calibri"/>
                <w:sz w:val="22"/>
              </w:rPr>
              <w:t>$6.76B</w:t>
            </w:r>
          </w:p>
        </w:tc>
        <w:tc>
          <w:tcPr>
            <w:tcW w:type="dxa" w:w="1080"/>
          </w:tcPr>
          <w:p>
            <w:r>
              <w:rPr>
                <w:rFonts w:ascii="Calibri" w:hAnsi="Calibri"/>
                <w:b/>
                <w:color w:val="30A46C"/>
                <w:sz w:val="22"/>
              </w:rPr>
              <w:t>+0.9%</w:t>
            </w:r>
          </w:p>
        </w:tc>
        <w:tc>
          <w:tcPr>
            <w:tcW w:type="dxa" w:w="1080"/>
          </w:tcPr>
          <w:p>
            <w:r>
              <w:rPr>
                <w:rFonts w:ascii="Calibri" w:hAnsi="Calibri"/>
                <w:sz w:val="22"/>
              </w:rPr>
              <w:t>Strong growth; power gen + oil &amp; gas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w:t>
            </w:r>
          </w:p>
        </w:tc>
      </w:tr>
      <w:tr>
        <w:tc>
          <w:tcPr>
            <w:tcW w:type="dxa" w:w="1080"/>
          </w:tcPr>
          <w:p>
            <w:r>
              <w:rPr>
                <w:rFonts w:ascii="Calibri" w:hAnsi="Calibri"/>
                <w:sz w:val="22"/>
              </w:rPr>
              <w:t>Backlog — Q2 2026</w:t>
            </w:r>
          </w:p>
        </w:tc>
        <w:tc>
          <w:tcPr>
            <w:tcW w:type="dxa" w:w="1080"/>
          </w:tcPr>
          <w:p>
            <w:r>
              <w:rPr>
                <w:rFonts w:ascii="Calibri" w:hAnsi="Calibri"/>
                <w:sz w:val="22"/>
              </w:rPr>
              <w:t>$62.7B</w:t>
            </w:r>
          </w:p>
        </w:tc>
        <w:tc>
          <w:tcPr>
            <w:tcW w:type="dxa" w:w="1080"/>
          </w:tcPr>
          <w:p>
            <w:r>
              <w:rPr>
                <w:rFonts w:ascii="Calibri" w:hAnsi="Calibri"/>
                <w:sz w:val="22"/>
              </w:rPr>
              <w:t>$62.7B</w:t>
            </w:r>
          </w:p>
        </w:tc>
        <w:tc>
          <w:tcPr>
            <w:tcW w:type="dxa" w:w="1080"/>
          </w:tcPr>
          <w:p>
            <w:r>
              <w:rPr>
                <w:rFonts w:ascii="Calibri" w:hAnsi="Calibri"/>
                <w:sz w:val="22"/>
              </w:rPr>
              <w:t>0.0%</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Post-earnings baseline uses consensus as of May 7, 2026 (approximately 5 trading days after the April 30, 2026 Q1 2026 earnings release). Current consensus as of August 3, 2026. Guidance language from CAT Q1 2026 earnings call transcript.</w:t>
      </w:r>
    </w:p>
    <w:p>
      <w:r>
        <w:rPr>
          <w:rFonts w:ascii="Calibri" w:hAnsi="Calibri"/>
          <w:color w:val="525866"/>
          <w:sz w:val="22"/>
        </w:rPr>
        <w:t>The near-flat estimate trajectory since the Q1 print reflects a market that has largely accepted management's raised guidance at face value. The slight downward drift in Q2 revenue consensus ($19.23B → $18.95B) likely reflects analysts fine-tuning tariff assumptions rather than demand skepticism — Power &amp; Energy estimates actually moved slightly higher, consistent with management's commentary that the segment is tracking ahead of 2026 capacity plans.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CAT surged +19% on Q1 earnings day (Apr 30) to a 52-week high of ~$1,065 on June 30, then reversed sharply — down ~22% from peak to ~$830 by August 3 — </w:t>
      </w:r>
      <w:r>
        <w:rPr>
          <w:rFonts w:ascii="Calibri" w:hAnsi="Calibri"/>
          <w:b/>
          <w:color w:val="525866"/>
          <w:sz w:val="22"/>
        </w:rPr>
        <w:t>significantly underperforming XLI (+4.9%) and SPY (+5.4%) since the print</w:t>
      </w:r>
      <w:r>
        <w:rPr>
          <w:rFonts w:ascii="Calibri" w:hAnsi="Calibri"/>
          <w:color w:val="525866"/>
          <w:sz w:val="22"/>
        </w:rPr>
        <w:t>; the de-rating appears driven by multiple compression (Baird downgrade, data center regulatory concerns) rather than estimate cuts, creating a potentially attractive entry point if Q2 results reaffirm the demand narrative.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CAT vs. XLI (Industrials ETF) vs. S&amp;P 500 (SPY) — Indexed to 100 at Q1 2026 Earnings Date (April 30, 2026). Source: Yahoo Finance.</w:t>
      </w:r>
    </w:p>
    <w:p>
      <w:r>
        <w:rPr>
          <w:rFonts w:ascii="Calibri" w:hAnsi="Calibri"/>
          <w:b/>
          <w:color w:val="525866"/>
          <w:sz w:val="22"/>
        </w:rPr>
        <w:t xml:space="preserve">Performance Summary: </w:t>
      </w:r>
      <w:r>
        <w:rPr>
          <w:rFonts w:ascii="Calibri" w:hAnsi="Calibri"/>
          <w:color w:val="525866"/>
          <w:sz w:val="22"/>
        </w:rPr>
        <w:t>CAT opened Q1 earnings day at ~$818 and closed at ~$890 (+8.8% on the day), then continued rallying to a 52-week high of $1,064.90 on June 30, 2026 — a peak gain of +19.6% from the earnings close. The stock then reversed sharply, falling ~22% from peak to ~$830 by August 3, driven by the Baird downgrade (July 29, PT cut to $900 from $1,200) citing data center regulatory risk and potential power generation oversupply. As of August 3, CAT is down -6.7% since the Q1 earnings close, versus XLI +4.9% and SPY +5.4% — a ~12 percentage point underperformance. The June 10 dividend increase (+7.9% to $1.63/share) provided a brief positive catalyst. The stock's P/E has compressed from the post-earnings peak multiple back toward the mid-40s range, suggesting the AI/data center premium has partially unwound. Source: Yahoo Finance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Q2 2026 earnings calls (reported before CAT) paint a broadly constructive picture for CAT's key end markets — </w:t>
      </w:r>
      <w:r>
        <w:rPr>
          <w:rFonts w:ascii="Calibri" w:hAnsi="Calibri"/>
          <w:b/>
          <w:color w:val="525866"/>
          <w:sz w:val="22"/>
        </w:rPr>
        <w:t>power/data center demand is accelerating, construction activity is robust, and mining/metals are healthy</w:t>
      </w:r>
      <w:r>
        <w:rPr>
          <w:rFonts w:ascii="Calibri" w:hAnsi="Calibri"/>
          <w:color w:val="525866"/>
          <w:sz w:val="22"/>
        </w:rPr>
        <w:t xml:space="preserve"> — while tariff impacts are manageable and in some cases net positive for peers with local-for-local manufacturing. The read-through is positive for CAT's Q2 print.</w:t>
      </w:r>
    </w:p>
    <w:p>
      <w:pPr>
        <w:pStyle w:val="Heading3"/>
      </w:pPr>
      <w:r>
        <w:rPr>
          <w:rFonts w:ascii="Calibri" w:hAnsi="Calibri"/>
          <w:b/>
          <w:color w:val="3B4259"/>
          <w:sz w:val="24"/>
        </w:rPr>
        <w:t>United Rentals (URI) — Q2 2026 Earnings (Reported July 23, 2026)</w:t>
      </w:r>
    </w:p>
    <w:p>
      <w:r>
        <w:rPr>
          <w:rFonts w:ascii="Calibri" w:hAnsi="Calibri"/>
          <w:b/>
          <w:color w:val="525866"/>
          <w:sz w:val="22"/>
        </w:rPr>
        <w:t xml:space="preserve">Relevance to CAT: </w:t>
      </w:r>
      <w:r>
        <w:rPr>
          <w:rFonts w:ascii="Calibri" w:hAnsi="Calibri"/>
          <w:color w:val="525866"/>
          <w:sz w:val="22"/>
        </w:rPr>
        <w:t>URI is a major customer of CAT construction and industrial equipment; URI's demand environment is a direct read-through for CAT's Construction Industries and Power &amp; Energy segments.</w:t>
      </w:r>
    </w:p>
    <w:p>
      <w:pPr>
        <w:pStyle w:val="ListBullet"/>
        <w:ind w:left="360" w:hanging="360"/>
      </w:pPr>
      <w:r>
        <w:rPr>
          <w:rFonts w:ascii="Calibri" w:hAnsi="Calibri"/>
          <w:b/>
          <w:color w:val="525866"/>
          <w:sz w:val="22"/>
        </w:rPr>
        <w:t xml:space="preserve">Construction demand outpacing expectations: </w:t>
      </w:r>
      <w:r>
        <w:rPr>
          <w:rFonts w:ascii="Calibri" w:hAnsi="Calibri"/>
          <w:color w:val="525866"/>
          <w:sz w:val="22"/>
        </w:rPr>
        <w:t>URI reported "demand continues to outpace our original expectations" with historically high time utilization rates, prompting a $450M increase in gross CapEx guidance to $4.85–$5.25B. URI noted it "wouldn't be able to get" an additional $1B of fleet even if it wanted to — a supply-constrained environment that is directly positive for CAT equipment pricing and volume.</w:t>
      </w:r>
    </w:p>
    <w:p>
      <w:pPr>
        <w:pStyle w:val="ListBullet"/>
        <w:ind w:left="360" w:hanging="360"/>
      </w:pPr>
      <w:r>
        <w:rPr>
          <w:rFonts w:ascii="Calibri" w:hAnsi="Calibri"/>
          <w:b/>
          <w:color w:val="525866"/>
          <w:sz w:val="22"/>
        </w:rPr>
        <w:t xml:space="preserve">Power vertical posting double-digit growth for 10 consecutive years: </w:t>
      </w:r>
      <w:r>
        <w:rPr>
          <w:rFonts w:ascii="Calibri" w:hAnsi="Calibri"/>
          <w:b/>
          <w:color w:val="30A46C"/>
          <w:sz w:val="22"/>
        </w:rPr>
        <w:t xml:space="preserve">URI stated power "organically has been growing double digits for us for the past ten years" and is "one of our largest asset categories." Power demand "accelerated in the second quarter" with behind-the-meter data center construction plans set to "accelerate next year." URI confirmed it has already started delivering equipment to behind-the-meter data center sites, with activity accelerating in Q2 mix. </w:t>
      </w:r>
    </w:p>
    <w:p>
      <w:pPr>
        <w:pStyle w:val="ListBullet"/>
        <w:ind w:left="360" w:hanging="360"/>
      </w:pPr>
      <w:r>
        <w:rPr>
          <w:rFonts w:ascii="Calibri" w:hAnsi="Calibri"/>
          <w:b/>
          <w:color w:val="525866"/>
          <w:sz w:val="22"/>
        </w:rPr>
        <w:t xml:space="preserve">Metals and minerals growing at a healthy rate: </w:t>
      </w:r>
      <w:r>
        <w:rPr>
          <w:rFonts w:ascii="Calibri" w:hAnsi="Calibri"/>
          <w:color w:val="525866"/>
          <w:sz w:val="22"/>
        </w:rPr>
        <w:t>URI noted "metals and minerals also grew at a healthy rate" — a positive read-through for CAT's Resource Industries segment, which saw its strongest order intake quarter since 2012 in Q1 2026.</w:t>
      </w:r>
    </w:p>
    <w:p>
      <w:pPr>
        <w:pStyle w:val="ListBullet"/>
        <w:ind w:left="360" w:hanging="360"/>
      </w:pPr>
      <w:r>
        <w:rPr>
          <w:rFonts w:ascii="Calibri" w:hAnsi="Calibri"/>
          <w:b/>
          <w:color w:val="525866"/>
          <w:sz w:val="22"/>
        </w:rPr>
        <w:t xml:space="preserve">Infrastructure and nonresidential construction strong: </w:t>
      </w:r>
      <w:r>
        <w:rPr>
          <w:rFonts w:ascii="Calibri" w:hAnsi="Calibri"/>
          <w:color w:val="525866"/>
          <w:sz w:val="22"/>
        </w:rPr>
        <w:t>"Construction posted strong growth led by nonresidential and infrastructure" with projects kicking off in hospitals, airports, and LNG terminals. Local markets stabilized with low single-digit growth. Semiconductor sector "has grown and power continues to be strong."</w:t>
      </w:r>
    </w:p>
    <w:p>
      <w:pPr>
        <w:pStyle w:val="ListBullet"/>
        <w:ind w:left="360" w:hanging="360"/>
      </w:pPr>
      <w:r>
        <w:rPr>
          <w:rFonts w:ascii="Calibri" w:hAnsi="Calibri"/>
          <w:b/>
          <w:color w:val="525866"/>
          <w:sz w:val="22"/>
        </w:rPr>
        <w:t xml:space="preserve">Pricing positive: </w:t>
      </w:r>
      <w:r>
        <w:rPr>
          <w:rFonts w:ascii="Calibri" w:hAnsi="Calibri"/>
          <w:color w:val="525866"/>
          <w:sz w:val="22"/>
        </w:rPr>
        <w:t>URI noted "rate is a good guy and we expect it to continue" with supply-demand dynamics favorable for fleet productivity. Spot rates up 20%, contract rates up 6.5% — improving trucking/logistics economics that support broader industrial activity.</w:t>
      </w:r>
    </w:p>
    <w:p>
      <w:pPr>
        <w:pStyle w:val="ListBullet"/>
        <w:ind w:left="360" w:hanging="360"/>
      </w:pPr>
      <w:r>
        <w:rPr>
          <w:rFonts w:ascii="Calibri" w:hAnsi="Calibri"/>
          <w:b/>
          <w:color w:val="525866"/>
          <w:sz w:val="22"/>
        </w:rPr>
        <w:t xml:space="preserve">Tariff impact: </w:t>
      </w:r>
      <w:r>
        <w:rPr>
          <w:rFonts w:ascii="Calibri" w:hAnsi="Calibri"/>
          <w:color w:val="525866"/>
          <w:sz w:val="22"/>
        </w:rPr>
        <w:t>URI did not specifically call out tariff headwinds in its Q2 commentary, suggesting the construction equipment supply chain has largely absorbed tariff costs without disrupting demand.</w:t>
      </w:r>
    </w:p>
    <w:p>
      <w:pPr>
        <w:pStyle w:val="Heading3"/>
      </w:pPr>
      <w:r>
        <w:rPr>
          <w:rFonts w:ascii="Calibri" w:hAnsi="Calibri"/>
          <w:b/>
          <w:color w:val="3B4259"/>
          <w:sz w:val="24"/>
        </w:rPr>
        <w:t>Honeywell Technologies (HON) — Q2 2026 Earnings (Reported July 23, 2026)</w:t>
      </w:r>
    </w:p>
    <w:p>
      <w:r>
        <w:rPr>
          <w:rFonts w:ascii="Calibri" w:hAnsi="Calibri"/>
          <w:b/>
          <w:color w:val="525866"/>
          <w:sz w:val="22"/>
        </w:rPr>
        <w:t xml:space="preserve">Relevance to CAT: </w:t>
      </w:r>
      <w:r>
        <w:rPr>
          <w:rFonts w:ascii="Calibri" w:hAnsi="Calibri"/>
          <w:color w:val="525866"/>
          <w:sz w:val="22"/>
        </w:rPr>
        <w:t>HON's process automation, building automation, and industrial automation businesses serve overlapping end markets with CAT's Power &amp; Energy and Construction segments; HON's data center, LNG, and energy infrastructure commentary is a direct read-through.</w:t>
      </w:r>
    </w:p>
    <w:p>
      <w:pPr>
        <w:pStyle w:val="ListBullet"/>
        <w:ind w:left="360" w:hanging="360"/>
      </w:pPr>
      <w:r>
        <w:rPr>
          <w:rFonts w:ascii="Calibri" w:hAnsi="Calibri"/>
          <w:b/>
          <w:color w:val="525866"/>
          <w:sz w:val="22"/>
        </w:rPr>
        <w:t xml:space="preserve">Data center demand expanding globally and accelerating: </w:t>
      </w:r>
      <w:r>
        <w:rPr>
          <w:rFonts w:ascii="Calibri" w:hAnsi="Calibri"/>
          <w:b/>
          <w:color w:val="30A46C"/>
          <w:sz w:val="22"/>
        </w:rPr>
        <w:t xml:space="preserve">HON noted data centers grew from "almost nothing 3 or 4 years back" to 5%+ of Building Automation sales in 2026, with 13% orders growth in Q2 "largely from data centers, hospitality, and healthcare." HON observed "more data centers putting on-site power generation" — a direct read-through for CAT's prime power generator demand. Data center build-out is "growing beyond the US across Europe, across Asia." </w:t>
      </w:r>
    </w:p>
    <w:p>
      <w:pPr>
        <w:pStyle w:val="ListBullet"/>
        <w:ind w:left="360" w:hanging="360"/>
      </w:pPr>
      <w:r>
        <w:rPr>
          <w:rFonts w:ascii="Calibri" w:hAnsi="Calibri"/>
          <w:b/>
          <w:color w:val="525866"/>
          <w:sz w:val="22"/>
        </w:rPr>
        <w:t xml:space="preserve">16% organic orders growth across all segments: </w:t>
      </w:r>
      <w:r>
        <w:rPr>
          <w:rFonts w:ascii="Calibri" w:hAnsi="Calibri"/>
          <w:color w:val="525866"/>
          <w:sz w:val="22"/>
        </w:rPr>
        <w:t>HON reported 16% organic orders growth in Q2 with "broad-based demand across all segments" and double-digit short-cycle orders in every business. Book-to-bill of 1.1x and ending backlog up 9%. Process Automation orders up ~25% organically, led by ~50% growth in process technology. This broad-based industrial demand is a positive read-through for CAT's diversified end market exposure.</w:t>
      </w:r>
    </w:p>
    <w:p>
      <w:pPr>
        <w:pStyle w:val="ListBullet"/>
        <w:ind w:left="360" w:hanging="360"/>
      </w:pPr>
      <w:r>
        <w:rPr>
          <w:rFonts w:ascii="Calibri" w:hAnsi="Calibri"/>
          <w:b/>
          <w:color w:val="525866"/>
          <w:sz w:val="22"/>
        </w:rPr>
        <w:t xml:space="preserve">LNG and energy infrastructure driving long-cycle orders: </w:t>
      </w:r>
      <w:r>
        <w:rPr>
          <w:rFonts w:ascii="Calibri" w:hAnsi="Calibri"/>
          <w:color w:val="525866"/>
          <w:sz w:val="22"/>
        </w:rPr>
        <w:t>HON's LNG business is "sold out for the next three and a half years" and process technology orders were driven by "LNG demand globally." HON raised full-year organic growth outlook to 3–4% (from 2–3%) with H2 expected at 4–6%. Energy upcycle and global project activity "beginning to materialize" — positive for CAT's oil &amp; gas and industrial power end markets.</w:t>
      </w:r>
    </w:p>
    <w:p>
      <w:pPr>
        <w:pStyle w:val="ListBullet"/>
        <w:ind w:left="360" w:hanging="360"/>
      </w:pPr>
      <w:r>
        <w:rPr>
          <w:rFonts w:ascii="Calibri" w:hAnsi="Calibri"/>
          <w:b/>
          <w:color w:val="525866"/>
          <w:sz w:val="22"/>
        </w:rPr>
        <w:t xml:space="preserve">Industrial automation recovering: </w:t>
      </w:r>
      <w:r>
        <w:rPr>
          <w:rFonts w:ascii="Calibri" w:hAnsi="Calibri"/>
          <w:color w:val="525866"/>
          <w:sz w:val="22"/>
        </w:rPr>
        <w:t>HON raised full-year industrial automation expectations from "roughly flat to up low single digits" citing short-cycle demand recovery in Europe, China, and the Americas. Sensing and industrial measurement orders up over 20%. Reshoring trends helping the business grow. Positive read-through for CAT's industrial end markets.</w:t>
      </w:r>
    </w:p>
    <w:p>
      <w:pPr>
        <w:pStyle w:val="ListBullet"/>
        <w:ind w:left="360" w:hanging="360"/>
      </w:pPr>
      <w:r>
        <w:rPr>
          <w:rFonts w:ascii="Calibri" w:hAnsi="Calibri"/>
          <w:b/>
          <w:color w:val="525866"/>
          <w:sz w:val="22"/>
        </w:rPr>
        <w:t xml:space="preserve">Tariff impact: </w:t>
      </w:r>
      <w:r>
        <w:rPr>
          <w:rFonts w:ascii="Calibri" w:hAnsi="Calibri"/>
          <w:color w:val="525866"/>
          <w:sz w:val="22"/>
        </w:rPr>
        <w:t>HON did not call out material tariff headwinds in Q2, suggesting industrial automation and process technology customers are not deferring orders due to tariff uncertainty.</w:t>
      </w:r>
    </w:p>
    <w:p>
      <w:pPr>
        <w:pStyle w:val="Heading3"/>
      </w:pPr>
      <w:r>
        <w:rPr>
          <w:rFonts w:ascii="Calibri" w:hAnsi="Calibri"/>
          <w:b/>
          <w:color w:val="3B4259"/>
          <w:sz w:val="24"/>
        </w:rPr>
        <w:t>GE Aerospace (GE) — Q2 2026 Earnings (Reported July 16, 2026)</w:t>
      </w:r>
    </w:p>
    <w:p>
      <w:r>
        <w:rPr>
          <w:rFonts w:ascii="Calibri" w:hAnsi="Calibri"/>
          <w:b/>
          <w:color w:val="525866"/>
          <w:sz w:val="22"/>
        </w:rPr>
        <w:t xml:space="preserve">Relevance to CAT: </w:t>
      </w:r>
      <w:r>
        <w:rPr>
          <w:rFonts w:ascii="Calibri" w:hAnsi="Calibri"/>
          <w:color w:val="525866"/>
          <w:sz w:val="22"/>
        </w:rPr>
        <w:t>GE Aerospace's commentary on industrial demand, tariffs, and backlog dynamics provides a read-through for large industrial equipment demand and the broader macro environment for CAT.</w:t>
      </w:r>
    </w:p>
    <w:p>
      <w:pPr>
        <w:pStyle w:val="ListBullet"/>
        <w:ind w:left="360" w:hanging="360"/>
      </w:pPr>
      <w:r>
        <w:rPr>
          <w:rFonts w:ascii="Calibri" w:hAnsi="Calibri"/>
          <w:b/>
          <w:color w:val="525866"/>
          <w:sz w:val="22"/>
        </w:rPr>
        <w:t xml:space="preserve">Demand resilience despite macro uncertainty: </w:t>
      </w:r>
      <w:r>
        <w:rPr>
          <w:rFonts w:ascii="Calibri" w:hAnsi="Calibri"/>
          <w:color w:val="525866"/>
          <w:sz w:val="22"/>
        </w:rPr>
        <w:t>GE CEO Larry Culp stated "we do not have a demand problem" with aftermarket demand "far more resilient than maybe many of us would have expected." Orders up 17% overall in Q2, up 49% in H1. Services backlog at $170B, up ~$30B since end of 2024. This broad industrial demand resilience is a positive read-through for CAT's end markets.</w:t>
      </w:r>
    </w:p>
    <w:p>
      <w:pPr>
        <w:pStyle w:val="ListBullet"/>
        <w:ind w:left="360" w:hanging="360"/>
      </w:pPr>
      <w:r>
        <w:rPr>
          <w:rFonts w:ascii="Calibri" w:hAnsi="Calibri"/>
          <w:b/>
          <w:color w:val="525866"/>
          <w:sz w:val="22"/>
        </w:rPr>
        <w:t xml:space="preserve">Tariff impact manageable and net positive: </w:t>
      </w:r>
      <w:r>
        <w:rPr>
          <w:rFonts w:ascii="Calibri" w:hAnsi="Calibri"/>
          <w:color w:val="525866"/>
          <w:sz w:val="22"/>
        </w:rPr>
        <w:t>GE received "$100M of refund from tariffs in the quarter" contributing to 43% FCF growth. While GE noted this is "not extremely material," the fact that a major industrial company received tariff refunds (vs. paying net tariff costs) suggests the tariff environment may be more nuanced than feared — a modest positive read-through for CAT's tariff mitigation narrative.</w:t>
      </w:r>
    </w:p>
    <w:p>
      <w:pPr>
        <w:pStyle w:val="ListBullet"/>
        <w:ind w:left="360" w:hanging="360"/>
      </w:pPr>
      <w:r>
        <w:rPr>
          <w:rFonts w:ascii="Calibri" w:hAnsi="Calibri"/>
          <w:b/>
          <w:color w:val="525866"/>
          <w:sz w:val="22"/>
        </w:rPr>
        <w:t xml:space="preserve">Record backlog and strong orders: </w:t>
      </w:r>
      <w:r>
        <w:rPr>
          <w:rFonts w:ascii="Calibri" w:hAnsi="Calibri"/>
          <w:color w:val="525866"/>
          <w:sz w:val="22"/>
        </w:rPr>
        <w:t>GE's total backlog exceeded $210B with defense book-to-bill of 1.7x in H1. The strong order environment across large industrial companies supports CAT's own record $63B backlog narrative.</w:t>
      </w:r>
    </w:p>
    <w:p>
      <w:pPr>
        <w:pStyle w:val="Heading3"/>
      </w:pPr>
      <w:r>
        <w:rPr>
          <w:rFonts w:ascii="Calibri" w:hAnsi="Calibri"/>
          <w:b/>
          <w:color w:val="3B4259"/>
          <w:sz w:val="24"/>
        </w:rPr>
        <w:t>PACCAR (PCAR) — Q2 2026 Earnings (Reported July 28, 2026)</w:t>
      </w:r>
    </w:p>
    <w:p>
      <w:r>
        <w:rPr>
          <w:rFonts w:ascii="Calibri" w:hAnsi="Calibri"/>
          <w:b/>
          <w:color w:val="525866"/>
          <w:sz w:val="22"/>
        </w:rPr>
        <w:t xml:space="preserve">Relevance to CAT: </w:t>
      </w:r>
      <w:r>
        <w:rPr>
          <w:rFonts w:ascii="Calibri" w:hAnsi="Calibri"/>
          <w:color w:val="525866"/>
          <w:sz w:val="22"/>
        </w:rPr>
        <w:t>PACCAR's heavy truck market commentary provides a read-through for North American industrial and construction activity, freight economics, and tariff dynamics for a large industrial manufacturer with local-for-local production.</w:t>
      </w:r>
    </w:p>
    <w:p>
      <w:pPr>
        <w:pStyle w:val="ListBullet"/>
        <w:ind w:left="360" w:hanging="360"/>
      </w:pPr>
      <w:r>
        <w:rPr>
          <w:rFonts w:ascii="Calibri" w:hAnsi="Calibri"/>
          <w:b/>
          <w:color w:val="525866"/>
          <w:sz w:val="22"/>
        </w:rPr>
        <w:t xml:space="preserve">US truck market strengthening with strong H2 outlook: </w:t>
      </w:r>
      <w:r>
        <w:rPr>
          <w:rFonts w:ascii="Calibri" w:hAnsi="Calibri"/>
          <w:color w:val="525866"/>
          <w:sz w:val="22"/>
        </w:rPr>
        <w:t>PACCAR noted "the U.S. economy is growing and the truck market is strengthening" with H2 retail sales expected at ~145,000 units (vs. 105,000 in H1), implying a full-year market of ~250,000 units. Spot rates up 20%, contract rates up 6.5%. Customers experiencing "better operating conditions" and returning to normal fleet replacement cycles. Positive read-through for North American construction and industrial activity that drives CAT's Construction Industries segment.</w:t>
      </w:r>
    </w:p>
    <w:p>
      <w:pPr>
        <w:pStyle w:val="ListBullet"/>
        <w:ind w:left="360" w:hanging="360"/>
      </w:pPr>
      <w:r>
        <w:rPr>
          <w:rFonts w:ascii="Calibri" w:hAnsi="Calibri"/>
          <w:b/>
          <w:color w:val="525866"/>
          <w:sz w:val="22"/>
        </w:rPr>
        <w:t xml:space="preserve">Tariff net positive for local-for-local manufacturers: </w:t>
      </w:r>
      <w:r>
        <w:rPr>
          <w:rFonts w:ascii="Calibri" w:hAnsi="Calibri"/>
          <w:color w:val="525866"/>
          <w:sz w:val="22"/>
        </w:rPr>
        <w:t>PCAR reported a "net tariff benefit" in Q2 from its local-for-local production strategy (factories in Ohio and Texas), with the benefit expected to "carry forward in Q3." CEO noted "the tariff situation has become a little bit more clear" with Section 232 tariffs being "durable." This is a read-through that CAT's own tariff mitigation actions (supply chain localization) may be more effective than consensus assumes, potentially providing upside to CAT's $2.2–$2.4B full-year tariff cost estimate.</w:t>
      </w:r>
    </w:p>
    <w:p>
      <w:pPr>
        <w:pStyle w:val="ListBullet"/>
        <w:ind w:left="360" w:hanging="360"/>
      </w:pPr>
      <w:r>
        <w:rPr>
          <w:rFonts w:ascii="Calibri" w:hAnsi="Calibri"/>
          <w:b/>
          <w:color w:val="525866"/>
          <w:sz w:val="22"/>
        </w:rPr>
        <w:t xml:space="preserve">Backlog nearly full for 2026: </w:t>
      </w:r>
      <w:r>
        <w:rPr>
          <w:rFonts w:ascii="Calibri" w:hAnsi="Calibri"/>
          <w:color w:val="525866"/>
          <w:sz w:val="22"/>
        </w:rPr>
        <w:t>PCAR is "90% full for the year" and expects to "sell out of build slots probably in the next month or two," with carryover into 2027. This supply-constrained environment mirrors CAT's own backlog dynamics and supports pricing power across the industrial equipment sector.</w:t>
      </w:r>
    </w:p>
    <w:p>
      <w:pPr>
        <w:pStyle w:val="ListBullet"/>
        <w:ind w:left="360" w:hanging="360"/>
      </w:pPr>
      <w:r>
        <w:rPr>
          <w:rFonts w:ascii="Calibri" w:hAnsi="Calibri"/>
          <w:b/>
          <w:color w:val="525866"/>
          <w:sz w:val="22"/>
        </w:rPr>
        <w:t xml:space="preserve">Reshoring driving industrial demand: </w:t>
      </w:r>
      <w:r>
        <w:rPr>
          <w:rFonts w:ascii="Calibri" w:hAnsi="Calibri"/>
          <w:color w:val="525866"/>
          <w:sz w:val="22"/>
        </w:rPr>
        <w:t>PCAR noted "reshoring and local for local efforts that are happening in the industrial base right now are good for trucks and especially good for Paccar" — a positive read-through for CAT's North American construction and industrial end markets.</w:t>
      </w:r>
    </w:p>
    <w:p>
      <w:pPr>
        <w:pStyle w:val="Heading3"/>
      </w:pPr>
      <w:r>
        <w:rPr>
          <w:rFonts w:ascii="Calibri" w:hAnsi="Calibri"/>
          <w:b/>
          <w:color w:val="3B4259"/>
          <w:sz w:val="24"/>
        </w:rPr>
        <w:t>AGCO Corporation (AGCO) — Q2 2026 Earnings (Reported July 30, 2026)</w:t>
      </w:r>
    </w:p>
    <w:p>
      <w:r>
        <w:rPr>
          <w:rFonts w:ascii="Calibri" w:hAnsi="Calibri"/>
          <w:b/>
          <w:color w:val="525866"/>
          <w:sz w:val="22"/>
        </w:rPr>
        <w:t xml:space="preserve">Relevance to CAT: </w:t>
      </w:r>
      <w:r>
        <w:rPr>
          <w:rFonts w:ascii="Calibri" w:hAnsi="Calibri"/>
          <w:color w:val="525866"/>
          <w:sz w:val="22"/>
        </w:rPr>
        <w:t>AGCO's agricultural equipment commentary is a limited but relevant read-through for CAT's Construction Industries (rural/agricultural construction) and for the broader tariff impact on large equipment manufacturers.</w:t>
      </w:r>
    </w:p>
    <w:p>
      <w:pPr>
        <w:pStyle w:val="ListBullet"/>
        <w:ind w:left="360" w:hanging="360"/>
      </w:pPr>
      <w:r>
        <w:rPr>
          <w:rFonts w:ascii="Calibri" w:hAnsi="Calibri"/>
          <w:b/>
          <w:color w:val="525866"/>
          <w:sz w:val="22"/>
        </w:rPr>
        <w:t xml:space="preserve">Agricultural equipment demand remains weak — limited read-through for CAT: </w:t>
      </w:r>
      <w:r>
        <w:rPr>
          <w:rFonts w:ascii="Calibri" w:hAnsi="Calibri"/>
          <w:b/>
          <w:color w:val="E5484D"/>
          <w:sz w:val="22"/>
        </w:rPr>
        <w:t xml:space="preserve">AGCO reported conditions "remain complex" with demand below historical mid-cycle levels (~85% of mid-cycle). North America large ag equipment expected down ~15% vs. 2025. This is a </w:t>
      </w:r>
      <w:r>
        <w:rPr>
          <w:rFonts w:ascii="Calibri" w:hAnsi="Calibri"/>
          <w:color w:val="525866"/>
          <w:sz w:val="22"/>
        </w:rPr>
        <w:t>negative read-through for any CAT exposure to agricultural construction, but CAT's Construction Industries is primarily driven by infrastructure, data centers, and nonresidential construction — not agricultural markets.</w:t>
      </w:r>
    </w:p>
    <w:p>
      <w:pPr>
        <w:pStyle w:val="ListBullet"/>
        <w:ind w:left="360" w:hanging="360"/>
      </w:pPr>
      <w:r>
        <w:rPr>
          <w:rFonts w:ascii="Calibri" w:hAnsi="Calibri"/>
          <w:b/>
          <w:color w:val="525866"/>
          <w:sz w:val="22"/>
        </w:rPr>
        <w:t xml:space="preserve">Tariff headwinds manageable with refunds: </w:t>
      </w:r>
      <w:r>
        <w:rPr>
          <w:rFonts w:ascii="Calibri" w:hAnsi="Calibri"/>
          <w:color w:val="525866"/>
          <w:sz w:val="22"/>
        </w:rPr>
        <w:t>AGCO received $22M of IEEPA tariff refunds in Q2, reducing net tariff impact to $95M for the year (vs. $115M gross). This is consistent with CAT's own experience of tariff costs coming in below initial estimates in Q1 2026 ($600M vs. $800M guided in January), and supports the view that tariff refunds/adjustments may continue to provide upside to CAT's $2.2–$2.4B full-year tariff cost estimate.</w:t>
      </w:r>
    </w:p>
    <w:p>
      <w:pPr>
        <w:pStyle w:val="ListBullet"/>
        <w:ind w:left="360" w:hanging="360"/>
      </w:pPr>
      <w:r>
        <w:rPr>
          <w:rFonts w:ascii="Calibri" w:hAnsi="Calibri"/>
          <w:b/>
          <w:color w:val="525866"/>
          <w:sz w:val="22"/>
        </w:rPr>
        <w:t xml:space="preserve">Pricing discipline maintained: </w:t>
      </w:r>
      <w:r>
        <w:rPr>
          <w:rFonts w:ascii="Calibri" w:hAnsi="Calibri"/>
          <w:color w:val="525866"/>
          <w:sz w:val="22"/>
        </w:rPr>
        <w:t>AGCO maintained 2–2.5% pricing realization despite soft demand, with North America pricing "exceptionally strong at ~3.5%." Pricing discipline across the industrial equipment sector supports CAT's own pricing power narrative.</w:t>
      </w:r>
    </w:p>
    <w:p>
      <w:pPr>
        <w:pStyle w:val="Heading3"/>
      </w:pPr>
      <w:r>
        <w:rPr>
          <w:rFonts w:ascii="Calibri" w:hAnsi="Calibri"/>
          <w:b/>
          <w:color w:val="3B4259"/>
          <w:sz w:val="24"/>
        </w:rPr>
        <w:t>Honeywell Technologies (HON) — Guidance Update Call (June 8, 2026) &amp; Investor Day (June 11, 2026)</w:t>
      </w:r>
    </w:p>
    <w:p>
      <w:r>
        <w:rPr>
          <w:rFonts w:ascii="Calibri" w:hAnsi="Calibri"/>
          <w:b/>
          <w:color w:val="525866"/>
          <w:sz w:val="22"/>
        </w:rPr>
        <w:t xml:space="preserve">Relevance to CAT: </w:t>
      </w:r>
      <w:r>
        <w:rPr>
          <w:rFonts w:ascii="Calibri" w:hAnsi="Calibri"/>
          <w:color w:val="525866"/>
          <w:sz w:val="22"/>
        </w:rPr>
        <w:t>HON's mid-quarter guidance update and Investor Day provided early-quarter signals on data center, LNG, and industrial automation demand trends that are directly relevant to CAT's Power &amp; Energy segment.</w:t>
      </w:r>
    </w:p>
    <w:p>
      <w:pPr>
        <w:pStyle w:val="ListBullet"/>
        <w:ind w:left="360" w:hanging="360"/>
      </w:pPr>
      <w:r>
        <w:rPr>
          <w:rFonts w:ascii="Calibri" w:hAnsi="Calibri"/>
          <w:b/>
          <w:color w:val="525866"/>
          <w:sz w:val="22"/>
        </w:rPr>
        <w:t xml:space="preserve">Data center demand accelerating mid-quarter: </w:t>
      </w:r>
      <w:r>
        <w:rPr>
          <w:rFonts w:ascii="Calibri" w:hAnsi="Calibri"/>
          <w:b/>
          <w:color w:val="30A46C"/>
          <w:sz w:val="22"/>
        </w:rPr>
        <w:t xml:space="preserve">At the June 8 guidance update call, HON CEO noted Building Automation orders were "the strongest I've seen in 6 years" with May quarter-to-date orders "closer to double digits." Data centers, hospitality, and healthcare were the primary drivers. HON's Investor Day (June 11) confirmed data centers grew from "negligible" to 5%+ of Building Automation sales in 2026 and are "trending higher." This mid-quarter data point (before CAT's Q2 ended June 30) confirms data center demand was accelerating through the quarter — a strong positive read-through for CAT's Power &amp; Energy power generation revenue. </w:t>
      </w:r>
    </w:p>
    <w:p>
      <w:pPr>
        <w:pStyle w:val="ListBullet"/>
        <w:ind w:left="360" w:hanging="360"/>
      </w:pPr>
      <w:r>
        <w:rPr>
          <w:rFonts w:ascii="Calibri" w:hAnsi="Calibri"/>
          <w:b/>
          <w:color w:val="525866"/>
          <w:sz w:val="22"/>
        </w:rPr>
        <w:t xml:space="preserve">LNG sold out for 3.5 years: </w:t>
      </w:r>
      <w:r>
        <w:rPr>
          <w:rFonts w:ascii="Calibri" w:hAnsi="Calibri"/>
          <w:color w:val="525866"/>
          <w:sz w:val="22"/>
        </w:rPr>
        <w:t>HON's Investor Day revealed its LNG business is "sold out for the next three and a half years" with the Air Products LNG acquisition expected to be a $500M business next year. HON's process technology book-to-bill has been above 1.2x for several quarters. This long-cycle LNG demand is a positive read-through for CAT's Solar Turbines oil &amp; gas business, which management guided for "another year of strong turbine sales" in 2026.</w:t>
      </w:r>
    </w:p>
    <w:p>
      <w:pPr>
        <w:pStyle w:val="ListBullet"/>
        <w:ind w:left="360" w:hanging="360"/>
      </w:pPr>
      <w:r>
        <w:rPr>
          <w:rFonts w:ascii="Calibri" w:hAnsi="Calibri"/>
          <w:b/>
          <w:color w:val="525866"/>
          <w:sz w:val="22"/>
        </w:rPr>
        <w:t xml:space="preserve">Energy security driving global demand: </w:t>
      </w:r>
      <w:r>
        <w:rPr>
          <w:rFonts w:ascii="Calibri" w:hAnsi="Calibri"/>
          <w:color w:val="525866"/>
          <w:sz w:val="22"/>
        </w:rPr>
        <w:t>HON noted the Middle East conflict "generated a lot of demand globally as people are thinking through their own energy security" with PA&amp;T seeing "a lot more incremental demand outside of Middle East." This energy security theme supports CAT's oil &amp; gas and power generation end markets globally.</w:t>
      </w:r>
    </w:p>
    <w:p>
      <w:pPr>
        <w:pStyle w:val="ListBullet"/>
        <w:ind w:left="360" w:hanging="360"/>
      </w:pPr>
      <w:r>
        <w:rPr>
          <w:rFonts w:ascii="Calibri" w:hAnsi="Calibri"/>
          <w:b/>
          <w:color w:val="525866"/>
          <w:sz w:val="22"/>
        </w:rPr>
        <w:t xml:space="preserve">Industrial automation recovery confirmed: </w:t>
      </w:r>
      <w:r>
        <w:rPr>
          <w:rFonts w:ascii="Calibri" w:hAnsi="Calibri"/>
          <w:color w:val="525866"/>
          <w:sz w:val="22"/>
        </w:rPr>
        <w:t>HON raised full-year industrial automation expectations from "down low single digits to flat" at the June 8 call, citing short-cycle demand recovery in Europe and Asia. This mid-quarter confirmation of industrial demand recovery is a positive read-through for CAT's Resource Industries and Construction Industries segments.</w:t>
      </w:r>
    </w:p>
    <w:p>
      <w:r>
        <w:rPr>
          <w:rFonts w:ascii="Calibri" w:hAnsi="Calibri"/>
          <w:b/>
          <w:color w:val="525866"/>
          <w:sz w:val="22"/>
        </w:rPr>
        <w:t xml:space="preserve">Overall Peer Read-Through Summary: </w:t>
      </w:r>
      <w:r>
        <w:rPr>
          <w:rFonts w:ascii="Calibri" w:hAnsi="Calibri"/>
          <w:color w:val="525866"/>
          <w:sz w:val="22"/>
        </w:rPr>
        <w:t xml:space="preserve">The aggregate signal from Q2 2026 peer earnings is </w:t>
      </w:r>
      <w:r>
        <w:rPr>
          <w:rFonts w:ascii="Calibri" w:hAnsi="Calibri"/>
          <w:b/>
          <w:color w:val="30A46C"/>
          <w:sz w:val="22"/>
        </w:rPr>
        <w:t>clearly positive for CAT</w:t>
      </w:r>
      <w:r>
        <w:rPr>
          <w:rFonts w:ascii="Calibri" w:hAnsi="Calibri"/>
          <w:color w:val="525866"/>
          <w:sz w:val="22"/>
        </w:rPr>
        <w:t>. Power/data center demand is accelerating (URI, HON), construction activity is robust and supply-constrained (URI, PCAR), mining/metals are healthy (URI), LNG and energy infrastructure are in multi-year upcycles (HON), and tariff impacts are proving manageable or net positive for local-for-local manufacturers (PCAR, AGCO). The only cautionary note is AGCO's weak agricultural equipment market, which has limited direct read-through to CAT's primary end markets. The peer commentary collectively supports management's Q2 guidance for "strong sales growth" across all three segments and reinforces the bull case for CAT's Power &amp; Energy segment heading into the print.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Baird downgrade on July 29 (PT cut to $900 from $1,200)</w:t>
      </w:r>
      <w:r>
        <w:rPr>
          <w:rFonts w:ascii="Calibri" w:hAnsi="Calibri"/>
          <w:color w:val="525866"/>
          <w:sz w:val="22"/>
        </w:rPr>
        <w:t xml:space="preserve"> citing data center regulatory risk — this has driven the stock's ~22% pullback from its June 30 peak and is the primary overhang heading into the Q2 print; a strong Power &amp; Energy order update could directly counter this thesis.</w:t>
      </w:r>
    </w:p>
    <w:p>
      <w:pPr>
        <w:pStyle w:val="ListBullet"/>
        <w:ind w:left="360" w:hanging="360"/>
      </w:pPr>
      <w:r>
        <w:rPr>
          <w:rFonts w:ascii="Calibri" w:hAnsi="Calibri"/>
          <w:b/>
          <w:color w:val="525866"/>
          <w:sz w:val="22"/>
        </w:rPr>
        <w:t xml:space="preserve">July 29, 2026 — Baird Downgrade to Neutral (PT: $900 from $1,200): </w:t>
      </w:r>
      <w:r>
        <w:rPr>
          <w:rFonts w:ascii="Calibri" w:hAnsi="Calibri"/>
          <w:color w:val="525866"/>
          <w:sz w:val="22"/>
        </w:rPr>
        <w:t xml:space="preserve">Analyst Mig Dobre downgraded CAT from Outperform to Neutral, citing growing U.S. state and local regulations targeting data center development (including New York's July 14 moratorium on new large-scale data centers), potential slowdown in hyperscaler CapEx growth post-2026, and risk of power generation equipment oversupply as industry capacity expands. Baird acknowledged near-term fundamentals remain robust with "high likelihood of upside versus consensus" in H2 2026, but argued investors will shift focus to 2027–2028 order slowdown risk. </w:t>
      </w:r>
      <w:r>
        <w:rPr>
          <w:rFonts w:ascii="Calibri" w:hAnsi="Calibri"/>
          <w:b/>
          <w:color w:val="525866"/>
          <w:sz w:val="22"/>
        </w:rPr>
        <w:t xml:space="preserve">Implication: </w:t>
      </w:r>
      <w:r>
        <w:rPr>
          <w:rFonts w:ascii="Calibri" w:hAnsi="Calibri"/>
          <w:color w:val="525866"/>
          <w:sz w:val="22"/>
        </w:rPr>
        <w:t>This is the primary stock overhang; a strong Q2 Power &amp; Energy order update and management commentary on 2027 demand visibility could directly counter this thesis.</w:t>
      </w:r>
    </w:p>
    <w:p>
      <w:pPr>
        <w:pStyle w:val="ListBullet"/>
        <w:ind w:left="360" w:hanging="360"/>
      </w:pPr>
      <w:r>
        <w:rPr>
          <w:rFonts w:ascii="Calibri" w:hAnsi="Calibri"/>
          <w:b/>
          <w:color w:val="525866"/>
          <w:sz w:val="22"/>
        </w:rPr>
        <w:t xml:space="preserve">June 11, 2026 — Quarterly Dividend Raised 7.9% to $1.63/Share: </w:t>
      </w:r>
      <w:r>
        <w:rPr>
          <w:rFonts w:ascii="Calibri" w:hAnsi="Calibri"/>
          <w:color w:val="525866"/>
          <w:sz w:val="22"/>
        </w:rPr>
        <w:t xml:space="preserve">CAT's Board declared a quarterly cash dividend of $1.63/share (up from $1.51), payable August 19, 2026 to shareholders of record July 20, 2026. This represents the 12th consecutive annual dividend increase. </w:t>
      </w:r>
      <w:r>
        <w:rPr>
          <w:rFonts w:ascii="Calibri" w:hAnsi="Calibri"/>
          <w:b/>
          <w:color w:val="525866"/>
          <w:sz w:val="22"/>
        </w:rPr>
        <w:t xml:space="preserve">Implication: </w:t>
      </w:r>
      <w:r>
        <w:rPr>
          <w:rFonts w:ascii="Calibri" w:hAnsi="Calibri"/>
          <w:color w:val="525866"/>
          <w:sz w:val="22"/>
        </w:rPr>
        <w:t>Signals management's confidence in sustained FCF generation above the $9.5B+ guided for FY2026; supports the capital return narrative.</w:t>
      </w:r>
    </w:p>
    <w:p>
      <w:pPr>
        <w:pStyle w:val="ListBullet"/>
        <w:ind w:left="360" w:hanging="360"/>
      </w:pPr>
      <w:r>
        <w:rPr>
          <w:rFonts w:ascii="Calibri" w:hAnsi="Calibri"/>
          <w:b/>
          <w:color w:val="525866"/>
          <w:sz w:val="22"/>
        </w:rPr>
        <w:t xml:space="preserve">June 22, 2026 — CAT Reaches 52-Week High of ~$1,065: </w:t>
      </w:r>
      <w:r>
        <w:rPr>
          <w:rFonts w:ascii="Calibri" w:hAnsi="Calibri"/>
          <w:color w:val="525866"/>
          <w:sz w:val="22"/>
        </w:rPr>
        <w:t xml:space="preserve">The stock hit an all-time high driven by continued momentum in Power &amp; Energy order flow and data center infrastructure demand. The stock has since retreated ~22% to ~$830 as of August 3. </w:t>
      </w:r>
      <w:r>
        <w:rPr>
          <w:rFonts w:ascii="Calibri" w:hAnsi="Calibri"/>
          <w:b/>
          <w:color w:val="525866"/>
          <w:sz w:val="22"/>
        </w:rPr>
        <w:t xml:space="preserve">Implication: </w:t>
      </w:r>
      <w:r>
        <w:rPr>
          <w:rFonts w:ascii="Calibri" w:hAnsi="Calibri"/>
          <w:color w:val="525866"/>
          <w:sz w:val="22"/>
        </w:rPr>
        <w:t>The peak-to-trough decline has reset valuation expectations; the stock now trades at a more reasonable multiple heading into the print.</w:t>
      </w:r>
    </w:p>
    <w:p>
      <w:pPr>
        <w:pStyle w:val="ListBullet"/>
        <w:ind w:left="360" w:hanging="360"/>
      </w:pPr>
      <w:r>
        <w:rPr>
          <w:rFonts w:ascii="Calibri" w:hAnsi="Calibri"/>
          <w:b/>
          <w:color w:val="525866"/>
          <w:sz w:val="22"/>
        </w:rPr>
        <w:t xml:space="preserve">July 14, 2026 — New York Governor Signs Data Center Moratorium: </w:t>
      </w:r>
      <w:r>
        <w:rPr>
          <w:rFonts w:ascii="Calibri" w:hAnsi="Calibri"/>
          <w:color w:val="525866"/>
          <w:sz w:val="22"/>
        </w:rPr>
        <w:t xml:space="preserve">Governor Kathy Hochul signed an executive order imposing a statewide moratorium on new large-scale data centers in New York. This was cited by Baird as the most prominent example of a broader regulatory trend, with 40+ U.S. states considering 260+ data center-related bills in 2025 and 300+ additional proposals filed in Q1 2026. </w:t>
      </w:r>
      <w:r>
        <w:rPr>
          <w:rFonts w:ascii="Calibri" w:hAnsi="Calibri"/>
          <w:b/>
          <w:color w:val="525866"/>
          <w:sz w:val="22"/>
        </w:rPr>
        <w:t xml:space="preserve">Implication: </w:t>
      </w:r>
      <w:r>
        <w:rPr>
          <w:rFonts w:ascii="Calibri" w:hAnsi="Calibri"/>
          <w:color w:val="525866"/>
          <w:sz w:val="22"/>
        </w:rPr>
        <w:t>Near-term impact on CAT's backlog is likely minimal given multi-year order visibility, but could weigh on 2027–2028 order expectations if the regulatory trend accelerates.</w:t>
      </w:r>
    </w:p>
    <w:p>
      <w:pPr>
        <w:pStyle w:val="ListBullet"/>
        <w:ind w:left="360" w:hanging="360"/>
      </w:pPr>
      <w:r>
        <w:rPr>
          <w:rFonts w:ascii="Calibri" w:hAnsi="Calibri"/>
          <w:b/>
          <w:color w:val="525866"/>
          <w:sz w:val="22"/>
        </w:rPr>
        <w:t xml:space="preserve">May 1, 2026 — CFO Transition: Kyle Epley Succeeds Andrew Bonfield: </w:t>
      </w:r>
      <w:r>
        <w:rPr>
          <w:rFonts w:ascii="Calibri" w:hAnsi="Calibri"/>
          <w:color w:val="525866"/>
          <w:sz w:val="22"/>
        </w:rPr>
        <w:t xml:space="preserve">Kyle Epley became CFO effective May 1, 2026, succeeding Andrew Bonfield who retired after the Q1 2026 earnings call. Management characterized the transition as seamless given Epley's deep involvement in developing the refreshed strategy and 20+ years working alongside the CEO. </w:t>
      </w:r>
      <w:r>
        <w:rPr>
          <w:rFonts w:ascii="Calibri" w:hAnsi="Calibri"/>
          <w:b/>
          <w:color w:val="525866"/>
          <w:sz w:val="22"/>
        </w:rPr>
        <w:t xml:space="preserve">Implication: </w:t>
      </w:r>
      <w:r>
        <w:rPr>
          <w:rFonts w:ascii="Calibri" w:hAnsi="Calibri"/>
          <w:color w:val="525866"/>
          <w:sz w:val="22"/>
        </w:rPr>
        <w:t>Q2 2026 will be Epley's first earnings call as CFO; no change in financial strategy expected, but investors will be listening for his tone and communication style.</w:t>
      </w:r>
    </w:p>
    <w:p>
      <w:pPr>
        <w:pStyle w:val="ListBullet"/>
        <w:ind w:left="360" w:hanging="360"/>
      </w:pPr>
      <w:r>
        <w:rPr>
          <w:rFonts w:ascii="Calibri" w:hAnsi="Calibri"/>
          <w:b/>
          <w:color w:val="525866"/>
          <w:sz w:val="22"/>
        </w:rPr>
        <w:t xml:space="preserve">April 30, 2026 — Q1 2026 Earnings Beat &amp; Guidance Raise: </w:t>
      </w:r>
      <w:r>
        <w:rPr>
          <w:rFonts w:ascii="Calibri" w:hAnsi="Calibri"/>
          <w:color w:val="525866"/>
          <w:sz w:val="22"/>
        </w:rPr>
        <w:t xml:space="preserve">CAT reported Q1 2026 revenue of $17.42B (+22% YoY, +7.5% vs. consensus) and operating EPS of $5.54 (+30% YoY, +19.1% vs. consensus). Record backlog of $63B (+79% YoY). All-time record quarterly orders. Large reciprocating engine capacity raised to nearly 3x 2024 levels. Full-year 2026 revenue guidance raised to low double-digit growth. Long-term enterprise CAGR target raised to 6–9%. Power generation 2030 target raised to 3x 2024 sales. Sixth PROPWR agreement announced (up to 2.1 GW). </w:t>
      </w:r>
      <w:r>
        <w:rPr>
          <w:rFonts w:ascii="Calibri" w:hAnsi="Calibri"/>
          <w:b/>
          <w:color w:val="525866"/>
          <w:sz w:val="22"/>
        </w:rPr>
        <w:t xml:space="preserve">Implication: </w:t>
      </w:r>
      <w:r>
        <w:rPr>
          <w:rFonts w:ascii="Calibri" w:hAnsi="Calibri"/>
          <w:color w:val="525866"/>
          <w:sz w:val="22"/>
        </w:rPr>
        <w:t>Sets a high bar for Q2 but management's explicit Q2 guidance language implies the bar is achievable.</w:t>
      </w:r>
    </w:p>
    <w:p>
      <w:pPr>
        <w:pStyle w:val="ListBullet"/>
        <w:ind w:left="360" w:hanging="360"/>
      </w:pPr>
      <w:r>
        <w:rPr>
          <w:rFonts w:ascii="Calibri" w:hAnsi="Calibri"/>
          <w:b/>
          <w:color w:val="525866"/>
          <w:sz w:val="22"/>
        </w:rPr>
        <w:t xml:space="preserve">Analyst Rating/PT Changes Since Q1 Earnings: </w:t>
      </w:r>
      <w:r>
        <w:rPr>
          <w:rFonts w:ascii="Calibri" w:hAnsi="Calibri"/>
          <w:color w:val="525866"/>
          <w:sz w:val="22"/>
        </w:rPr>
        <w:t xml:space="preserve">Bank of America raised PT to $989 (Buy, May 1); Argus Research set PT at $990 (May 5); Wells Fargo set PT at $1,155 (June 23); Citigroup maintained (July 14); Oppenheimer maintained (July 13); Truist Securities maintained (July 2); Baird downgraded to Neutral, PT $900 (July 29); Erste Group Bank downgraded to Hold. Consensus PT ~$988 as of August 3. </w:t>
      </w:r>
      <w:r>
        <w:rPr>
          <w:rFonts w:ascii="Calibri" w:hAnsi="Calibri"/>
          <w:b/>
          <w:color w:val="525866"/>
          <w:sz w:val="22"/>
        </w:rPr>
        <w:t xml:space="preserve">Implication: </w:t>
      </w:r>
      <w:r>
        <w:rPr>
          <w:rFonts w:ascii="Calibri" w:hAnsi="Calibri"/>
          <w:color w:val="525866"/>
          <w:sz w:val="22"/>
        </w:rPr>
        <w:t>Despite the Baird downgrade, the majority of analysts remain constructive with PTs well above current price (~$830), suggesting the sell-side sees the pullback as an opportunity.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open-market sales by Group Presidents and the outgoing CFO — a cluster of post-earnings selling that is typical following a large earnings beat and stock surge, and is not a bearish signal. </w:t>
      </w:r>
      <w:r>
        <w:rPr>
          <w:rFonts w:ascii="Calibri" w:hAnsi="Calibri"/>
          <w:b/>
          <w:color w:val="525866"/>
          <w:sz w:val="22"/>
        </w:rPr>
        <w:t>The sole open-market buy (Director David MacLennan, 250 shares on May 4) is a modest but notable positive signal</w:t>
      </w:r>
      <w:r>
        <w:rPr>
          <w:rFonts w:ascii="Calibri" w:hAnsi="Calibri"/>
          <w:color w:val="525866"/>
          <w:sz w:val="22"/>
        </w:rPr>
        <w:t>; no 10b5-1 plan initiations were disclosed.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David MacLennan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250</w:t>
            </w:r>
          </w:p>
        </w:tc>
        <w:tc>
          <w:tcPr>
            <w:tcW w:type="dxa" w:w="1440"/>
          </w:tcPr>
          <w:p>
            <w:r>
              <w:rPr>
                <w:rFonts w:ascii="Calibri" w:hAnsi="Calibri"/>
                <w:sz w:val="22"/>
              </w:rPr>
              <w:t>May 4, 2026</w:t>
            </w:r>
          </w:p>
        </w:tc>
        <w:tc>
          <w:tcPr>
            <w:tcW w:type="dxa" w:w="1440"/>
          </w:tcPr>
          <w:p>
            <w:r>
              <w:rPr>
                <w:rFonts w:ascii="Calibri" w:hAnsi="Calibri"/>
                <w:sz w:val="22"/>
              </w:rPr>
              <w:t>Discretionary purchase; modest but positive signal from independent director at ~$905/share</w:t>
            </w:r>
          </w:p>
        </w:tc>
      </w:tr>
      <w:tr>
        <w:tc>
          <w:tcPr>
            <w:tcW w:type="dxa" w:w="1440"/>
          </w:tcPr>
          <w:p>
            <w:r>
              <w:rPr>
                <w:rFonts w:ascii="Calibri" w:hAnsi="Calibri"/>
                <w:sz w:val="22"/>
              </w:rPr>
              <w:t>Jason Kaiser</w:t>
            </w:r>
          </w:p>
        </w:tc>
        <w:tc>
          <w:tcPr>
            <w:tcW w:type="dxa" w:w="1440"/>
          </w:tcPr>
          <w:p>
            <w:r>
              <w:rPr>
                <w:rFonts w:ascii="Calibri" w:hAnsi="Calibri"/>
                <w:sz w:val="22"/>
              </w:rPr>
              <w:t>Group President</w:t>
            </w:r>
          </w:p>
        </w:tc>
        <w:tc>
          <w:tcPr>
            <w:tcW w:type="dxa" w:w="1440"/>
          </w:tcPr>
          <w:p>
            <w:r>
              <w:rPr>
                <w:rFonts w:ascii="Calibri" w:hAnsi="Calibri"/>
                <w:sz w:val="22"/>
              </w:rPr>
              <w:t>Open Market Sale</w:t>
            </w:r>
          </w:p>
        </w:tc>
        <w:tc>
          <w:tcPr>
            <w:tcW w:type="dxa" w:w="1440"/>
          </w:tcPr>
          <w:p>
            <w:r>
              <w:rPr>
                <w:rFonts w:ascii="Calibri" w:hAnsi="Calibri"/>
                <w:sz w:val="22"/>
              </w:rPr>
              <w:t>5,642</w:t>
            </w:r>
          </w:p>
        </w:tc>
        <w:tc>
          <w:tcPr>
            <w:tcW w:type="dxa" w:w="1440"/>
          </w:tcPr>
          <w:p>
            <w:r>
              <w:rPr>
                <w:rFonts w:ascii="Calibri" w:hAnsi="Calibri"/>
                <w:sz w:val="22"/>
              </w:rPr>
              <w:t>May 4, 2026</w:t>
            </w:r>
          </w:p>
        </w:tc>
        <w:tc>
          <w:tcPr>
            <w:tcW w:type="dxa" w:w="1440"/>
          </w:tcPr>
          <w:p>
            <w:r>
              <w:rPr>
                <w:rFonts w:ascii="Calibri" w:hAnsi="Calibri"/>
                <w:sz w:val="22"/>
              </w:rPr>
              <w:t>Discretionary sale; post-earnings selling following +19% EPS beat; typical executive liquidity event</w:t>
            </w:r>
          </w:p>
        </w:tc>
      </w:tr>
      <w:tr>
        <w:tc>
          <w:tcPr>
            <w:tcW w:type="dxa" w:w="1440"/>
          </w:tcPr>
          <w:p>
            <w:r>
              <w:rPr>
                <w:rFonts w:ascii="Calibri" w:hAnsi="Calibri"/>
                <w:sz w:val="22"/>
              </w:rPr>
              <w:t>Rodney Michael Shurman</w:t>
            </w:r>
          </w:p>
        </w:tc>
        <w:tc>
          <w:tcPr>
            <w:tcW w:type="dxa" w:w="1440"/>
          </w:tcPr>
          <w:p>
            <w:r>
              <w:rPr>
                <w:rFonts w:ascii="Calibri" w:hAnsi="Calibri"/>
                <w:sz w:val="22"/>
              </w:rPr>
              <w:t>Group President</w:t>
            </w:r>
          </w:p>
        </w:tc>
        <w:tc>
          <w:tcPr>
            <w:tcW w:type="dxa" w:w="1440"/>
          </w:tcPr>
          <w:p>
            <w:r>
              <w:rPr>
                <w:rFonts w:ascii="Calibri" w:hAnsi="Calibri"/>
                <w:sz w:val="22"/>
              </w:rPr>
              <w:t>Open Market Sale</w:t>
            </w:r>
          </w:p>
        </w:tc>
        <w:tc>
          <w:tcPr>
            <w:tcW w:type="dxa" w:w="1440"/>
          </w:tcPr>
          <w:p>
            <w:r>
              <w:rPr>
                <w:rFonts w:ascii="Calibri" w:hAnsi="Calibri"/>
                <w:sz w:val="22"/>
              </w:rPr>
              <w:t>5,639</w:t>
            </w:r>
          </w:p>
        </w:tc>
        <w:tc>
          <w:tcPr>
            <w:tcW w:type="dxa" w:w="1440"/>
          </w:tcPr>
          <w:p>
            <w:r>
              <w:rPr>
                <w:rFonts w:ascii="Calibri" w:hAnsi="Calibri"/>
                <w:sz w:val="22"/>
              </w:rPr>
              <w:t>May 5, 2026</w:t>
            </w:r>
          </w:p>
        </w:tc>
        <w:tc>
          <w:tcPr>
            <w:tcW w:type="dxa" w:w="1440"/>
          </w:tcPr>
          <w:p>
            <w:r>
              <w:rPr>
                <w:rFonts w:ascii="Calibri" w:hAnsi="Calibri"/>
                <w:sz w:val="22"/>
              </w:rPr>
              <w:t>Discretionary sale; post-earnings selling; typical executive liquidity event</w:t>
            </w:r>
          </w:p>
        </w:tc>
      </w:tr>
      <w:tr>
        <w:tc>
          <w:tcPr>
            <w:tcW w:type="dxa" w:w="1440"/>
          </w:tcPr>
          <w:p>
            <w:r>
              <w:rPr>
                <w:rFonts w:ascii="Calibri" w:hAnsi="Calibri"/>
                <w:sz w:val="22"/>
              </w:rPr>
              <w:t>Andrew R.J. Bonfield</w:t>
            </w:r>
          </w:p>
        </w:tc>
        <w:tc>
          <w:tcPr>
            <w:tcW w:type="dxa" w:w="1440"/>
          </w:tcPr>
          <w:p>
            <w:r>
              <w:rPr>
                <w:rFonts w:ascii="Calibri" w:hAnsi="Calibri"/>
                <w:sz w:val="22"/>
              </w:rPr>
              <w:t>CFO Emeritus</w:t>
            </w:r>
          </w:p>
        </w:tc>
        <w:tc>
          <w:tcPr>
            <w:tcW w:type="dxa" w:w="1440"/>
          </w:tcPr>
          <w:p>
            <w:r>
              <w:rPr>
                <w:rFonts w:ascii="Calibri" w:hAnsi="Calibri"/>
                <w:sz w:val="22"/>
              </w:rPr>
              <w:t>Open Market Sale</w:t>
            </w:r>
          </w:p>
        </w:tc>
        <w:tc>
          <w:tcPr>
            <w:tcW w:type="dxa" w:w="1440"/>
          </w:tcPr>
          <w:p>
            <w:r>
              <w:rPr>
                <w:rFonts w:ascii="Calibri" w:hAnsi="Calibri"/>
                <w:sz w:val="22"/>
              </w:rPr>
              <w:t>15,674</w:t>
            </w:r>
          </w:p>
        </w:tc>
        <w:tc>
          <w:tcPr>
            <w:tcW w:type="dxa" w:w="1440"/>
          </w:tcPr>
          <w:p>
            <w:r>
              <w:rPr>
                <w:rFonts w:ascii="Calibri" w:hAnsi="Calibri"/>
                <w:sz w:val="22"/>
              </w:rPr>
              <w:t>May 6, 2026</w:t>
            </w:r>
          </w:p>
        </w:tc>
        <w:tc>
          <w:tcPr>
            <w:tcW w:type="dxa" w:w="1440"/>
          </w:tcPr>
          <w:p>
            <w:r>
              <w:rPr>
                <w:rFonts w:ascii="Calibri" w:hAnsi="Calibri"/>
                <w:sz w:val="22"/>
              </w:rPr>
              <w:t>Retirement-related sale; Bonfield retired as CFO effective May 1, 2026; expected liquidity event</w:t>
            </w:r>
          </w:p>
        </w:tc>
      </w:tr>
      <w:tr>
        <w:tc>
          <w:tcPr>
            <w:tcW w:type="dxa" w:w="1440"/>
          </w:tcPr>
          <w:p>
            <w:r>
              <w:rPr>
                <w:rFonts w:ascii="Calibri" w:hAnsi="Calibri"/>
                <w:sz w:val="22"/>
              </w:rPr>
              <w:t>Bob De Lange</w:t>
            </w:r>
          </w:p>
        </w:tc>
        <w:tc>
          <w:tcPr>
            <w:tcW w:type="dxa" w:w="1440"/>
          </w:tcPr>
          <w:p>
            <w:r>
              <w:rPr>
                <w:rFonts w:ascii="Calibri" w:hAnsi="Calibri"/>
                <w:sz w:val="22"/>
              </w:rPr>
              <w:t>Group President</w:t>
            </w:r>
          </w:p>
        </w:tc>
        <w:tc>
          <w:tcPr>
            <w:tcW w:type="dxa" w:w="1440"/>
          </w:tcPr>
          <w:p>
            <w:r>
              <w:rPr>
                <w:rFonts w:ascii="Calibri" w:hAnsi="Calibri"/>
                <w:sz w:val="22"/>
              </w:rPr>
              <w:t>Open Market Sale</w:t>
            </w:r>
          </w:p>
        </w:tc>
        <w:tc>
          <w:tcPr>
            <w:tcW w:type="dxa" w:w="1440"/>
          </w:tcPr>
          <w:p>
            <w:r>
              <w:rPr>
                <w:rFonts w:ascii="Calibri" w:hAnsi="Calibri"/>
                <w:sz w:val="22"/>
              </w:rPr>
              <w:t>24,222</w:t>
            </w:r>
          </w:p>
        </w:tc>
        <w:tc>
          <w:tcPr>
            <w:tcW w:type="dxa" w:w="1440"/>
          </w:tcPr>
          <w:p>
            <w:r>
              <w:rPr>
                <w:rFonts w:ascii="Calibri" w:hAnsi="Calibri"/>
                <w:sz w:val="22"/>
              </w:rPr>
              <w:t>May 6, 2026</w:t>
            </w:r>
          </w:p>
        </w:tc>
        <w:tc>
          <w:tcPr>
            <w:tcW w:type="dxa" w:w="1440"/>
          </w:tcPr>
          <w:p>
            <w:r>
              <w:rPr>
                <w:rFonts w:ascii="Calibri" w:hAnsi="Calibri"/>
                <w:sz w:val="22"/>
              </w:rPr>
              <w:t>Largest single sale in the period; discretionary; post-earnings selling at elevated prices</w:t>
            </w:r>
          </w:p>
        </w:tc>
      </w:tr>
      <w:tr>
        <w:tc>
          <w:tcPr>
            <w:tcW w:type="dxa" w:w="1440"/>
          </w:tcPr>
          <w:p>
            <w:r>
              <w:rPr>
                <w:rFonts w:ascii="Calibri" w:hAnsi="Calibri"/>
                <w:sz w:val="22"/>
              </w:rPr>
              <w:t>Anthony D. Fassino</w:t>
            </w:r>
          </w:p>
        </w:tc>
        <w:tc>
          <w:tcPr>
            <w:tcW w:type="dxa" w:w="1440"/>
          </w:tcPr>
          <w:p>
            <w:r>
              <w:rPr>
                <w:rFonts w:ascii="Calibri" w:hAnsi="Calibri"/>
                <w:sz w:val="22"/>
              </w:rPr>
              <w:t>Group President</w:t>
            </w:r>
          </w:p>
        </w:tc>
        <w:tc>
          <w:tcPr>
            <w:tcW w:type="dxa" w:w="1440"/>
          </w:tcPr>
          <w:p>
            <w:r>
              <w:rPr>
                <w:rFonts w:ascii="Calibri" w:hAnsi="Calibri"/>
                <w:sz w:val="22"/>
              </w:rPr>
              <w:t>Open Market Sale</w:t>
            </w:r>
          </w:p>
        </w:tc>
        <w:tc>
          <w:tcPr>
            <w:tcW w:type="dxa" w:w="1440"/>
          </w:tcPr>
          <w:p>
            <w:r>
              <w:rPr>
                <w:rFonts w:ascii="Calibri" w:hAnsi="Calibri"/>
                <w:sz w:val="22"/>
              </w:rPr>
              <w:t>9,152</w:t>
            </w:r>
          </w:p>
        </w:tc>
        <w:tc>
          <w:tcPr>
            <w:tcW w:type="dxa" w:w="1440"/>
          </w:tcPr>
          <w:p>
            <w:r>
              <w:rPr>
                <w:rFonts w:ascii="Calibri" w:hAnsi="Calibri"/>
                <w:sz w:val="22"/>
              </w:rPr>
              <w:t>May 6, 2026</w:t>
            </w:r>
          </w:p>
        </w:tc>
        <w:tc>
          <w:tcPr>
            <w:tcW w:type="dxa" w:w="1440"/>
          </w:tcPr>
          <w:p>
            <w:r>
              <w:rPr>
                <w:rFonts w:ascii="Calibri" w:hAnsi="Calibri"/>
                <w:sz w:val="22"/>
              </w:rPr>
              <w:t>Discretionary sale; post-earnings selling; typical executive liquidity event</w:t>
            </w:r>
          </w:p>
        </w:tc>
      </w:tr>
      <w:tr>
        <w:tc>
          <w:tcPr>
            <w:tcW w:type="dxa" w:w="1440"/>
          </w:tcPr>
          <w:p>
            <w:r>
              <w:rPr>
                <w:rFonts w:ascii="Calibri" w:hAnsi="Calibri"/>
                <w:sz w:val="22"/>
              </w:rPr>
              <w:t>Anthony D. Fassino</w:t>
            </w:r>
          </w:p>
        </w:tc>
        <w:tc>
          <w:tcPr>
            <w:tcW w:type="dxa" w:w="1440"/>
          </w:tcPr>
          <w:p>
            <w:r>
              <w:rPr>
                <w:rFonts w:ascii="Calibri" w:hAnsi="Calibri"/>
                <w:sz w:val="22"/>
              </w:rPr>
              <w:t>Group President</w:t>
            </w:r>
          </w:p>
        </w:tc>
        <w:tc>
          <w:tcPr>
            <w:tcW w:type="dxa" w:w="1440"/>
          </w:tcPr>
          <w:p>
            <w:r>
              <w:rPr>
                <w:rFonts w:ascii="Calibri" w:hAnsi="Calibri"/>
                <w:sz w:val="22"/>
              </w:rPr>
              <w:t>Open Market Sale</w:t>
            </w:r>
          </w:p>
        </w:tc>
        <w:tc>
          <w:tcPr>
            <w:tcW w:type="dxa" w:w="1440"/>
          </w:tcPr>
          <w:p>
            <w:r>
              <w:rPr>
                <w:rFonts w:ascii="Calibri" w:hAnsi="Calibri"/>
                <w:sz w:val="22"/>
              </w:rPr>
              <w:t>16,283</w:t>
            </w:r>
          </w:p>
        </w:tc>
        <w:tc>
          <w:tcPr>
            <w:tcW w:type="dxa" w:w="1440"/>
          </w:tcPr>
          <w:p>
            <w:r>
              <w:rPr>
                <w:rFonts w:ascii="Calibri" w:hAnsi="Calibri"/>
                <w:sz w:val="22"/>
              </w:rPr>
              <w:t>May 11, 2026</w:t>
            </w:r>
          </w:p>
        </w:tc>
        <w:tc>
          <w:tcPr>
            <w:tcW w:type="dxa" w:w="1440"/>
          </w:tcPr>
          <w:p>
            <w:r>
              <w:rPr>
                <w:rFonts w:ascii="Calibri" w:hAnsi="Calibri"/>
                <w:sz w:val="22"/>
              </w:rPr>
              <w:t>Second tranche; discretionary; continued post-earnings selling</w:t>
            </w:r>
          </w:p>
        </w:tc>
      </w:tr>
      <w:tr>
        <w:tc>
          <w:tcPr>
            <w:tcW w:type="dxa" w:w="1440"/>
          </w:tcPr>
          <w:p>
            <w:r>
              <w:rPr>
                <w:rFonts w:ascii="Calibri" w:hAnsi="Calibri"/>
                <w:sz w:val="22"/>
              </w:rPr>
              <w:t>William E. Schaupp</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360</w:t>
            </w:r>
          </w:p>
        </w:tc>
        <w:tc>
          <w:tcPr>
            <w:tcW w:type="dxa" w:w="1440"/>
          </w:tcPr>
          <w:p>
            <w:r>
              <w:rPr>
                <w:rFonts w:ascii="Calibri" w:hAnsi="Calibri"/>
                <w:sz w:val="22"/>
              </w:rPr>
              <w:t>May 13, 2026</w:t>
            </w:r>
          </w:p>
        </w:tc>
        <w:tc>
          <w:tcPr>
            <w:tcW w:type="dxa" w:w="1440"/>
          </w:tcPr>
          <w:p>
            <w:r>
              <w:rPr>
                <w:rFonts w:ascii="Calibri" w:hAnsi="Calibri"/>
                <w:sz w:val="22"/>
              </w:rPr>
              <w:t>Small discretionary sale; not material</w:t>
            </w:r>
          </w:p>
        </w:tc>
      </w:tr>
      <w:tr>
        <w:tc>
          <w:tcPr>
            <w:tcW w:type="dxa" w:w="1440"/>
          </w:tcPr>
          <w:p>
            <w:r>
              <w:rPr>
                <w:rFonts w:ascii="Calibri" w:hAnsi="Calibri"/>
                <w:sz w:val="22"/>
              </w:rPr>
              <w:t>Denise C. Johnson</w:t>
            </w:r>
          </w:p>
        </w:tc>
        <w:tc>
          <w:tcPr>
            <w:tcW w:type="dxa" w:w="1440"/>
          </w:tcPr>
          <w:p>
            <w:r>
              <w:rPr>
                <w:rFonts w:ascii="Calibri" w:hAnsi="Calibri"/>
                <w:sz w:val="22"/>
              </w:rPr>
              <w:t>Group President</w:t>
            </w:r>
          </w:p>
        </w:tc>
        <w:tc>
          <w:tcPr>
            <w:tcW w:type="dxa" w:w="1440"/>
          </w:tcPr>
          <w:p>
            <w:r>
              <w:rPr>
                <w:rFonts w:ascii="Calibri" w:hAnsi="Calibri"/>
                <w:sz w:val="22"/>
              </w:rPr>
              <w:t>Open Market Sale</w:t>
            </w:r>
          </w:p>
        </w:tc>
        <w:tc>
          <w:tcPr>
            <w:tcW w:type="dxa" w:w="1440"/>
          </w:tcPr>
          <w:p>
            <w:r>
              <w:rPr>
                <w:rFonts w:ascii="Calibri" w:hAnsi="Calibri"/>
                <w:sz w:val="22"/>
              </w:rPr>
              <w:t>6,196</w:t>
            </w:r>
          </w:p>
        </w:tc>
        <w:tc>
          <w:tcPr>
            <w:tcW w:type="dxa" w:w="1440"/>
          </w:tcPr>
          <w:p>
            <w:r>
              <w:rPr>
                <w:rFonts w:ascii="Calibri" w:hAnsi="Calibri"/>
                <w:sz w:val="22"/>
              </w:rPr>
              <w:t>May 13, 2026</w:t>
            </w:r>
          </w:p>
        </w:tc>
        <w:tc>
          <w:tcPr>
            <w:tcW w:type="dxa" w:w="1440"/>
          </w:tcPr>
          <w:p>
            <w:r>
              <w:rPr>
                <w:rFonts w:ascii="Calibri" w:hAnsi="Calibri"/>
                <w:sz w:val="22"/>
              </w:rPr>
              <w:t>Discretionary sale; post-earnings selling</w:t>
            </w:r>
          </w:p>
        </w:tc>
      </w:tr>
      <w:tr>
        <w:tc>
          <w:tcPr>
            <w:tcW w:type="dxa" w:w="1440"/>
          </w:tcPr>
          <w:p>
            <w:r>
              <w:rPr>
                <w:rFonts w:ascii="Calibri" w:hAnsi="Calibri"/>
                <w:sz w:val="22"/>
              </w:rPr>
              <w:t>Denise C. Johnson</w:t>
            </w:r>
          </w:p>
        </w:tc>
        <w:tc>
          <w:tcPr>
            <w:tcW w:type="dxa" w:w="1440"/>
          </w:tcPr>
          <w:p>
            <w:r>
              <w:rPr>
                <w:rFonts w:ascii="Calibri" w:hAnsi="Calibri"/>
                <w:sz w:val="22"/>
              </w:rPr>
              <w:t>Group President</w:t>
            </w:r>
          </w:p>
        </w:tc>
        <w:tc>
          <w:tcPr>
            <w:tcW w:type="dxa" w:w="1440"/>
          </w:tcPr>
          <w:p>
            <w:r>
              <w:rPr>
                <w:rFonts w:ascii="Calibri" w:hAnsi="Calibri"/>
                <w:sz w:val="22"/>
              </w:rPr>
              <w:t>Open Market Sale</w:t>
            </w:r>
          </w:p>
        </w:tc>
        <w:tc>
          <w:tcPr>
            <w:tcW w:type="dxa" w:w="1440"/>
          </w:tcPr>
          <w:p>
            <w:r>
              <w:rPr>
                <w:rFonts w:ascii="Calibri" w:hAnsi="Calibri"/>
                <w:sz w:val="22"/>
              </w:rPr>
              <w:t>12,605</w:t>
            </w:r>
          </w:p>
        </w:tc>
        <w:tc>
          <w:tcPr>
            <w:tcW w:type="dxa" w:w="1440"/>
          </w:tcPr>
          <w:p>
            <w:r>
              <w:rPr>
                <w:rFonts w:ascii="Calibri" w:hAnsi="Calibri"/>
                <w:sz w:val="22"/>
              </w:rPr>
              <w:t>May 14, 2026</w:t>
            </w:r>
          </w:p>
        </w:tc>
        <w:tc>
          <w:tcPr>
            <w:tcW w:type="dxa" w:w="1440"/>
          </w:tcPr>
          <w:p>
            <w:r>
              <w:rPr>
                <w:rFonts w:ascii="Calibri" w:hAnsi="Calibri"/>
                <w:sz w:val="22"/>
              </w:rPr>
              <w:t>Second tranche; discretionary; continued post-earnings selling</w:t>
            </w:r>
          </w:p>
        </w:tc>
      </w:tr>
    </w:tbl>
    <w:p>
      <w:r>
        <w:rPr>
          <w:rFonts w:ascii="Calibri" w:hAnsi="Calibri"/>
          <w:i/>
          <w:color w:val="525866"/>
          <w:sz w:val="22"/>
        </w:rPr>
        <w:t>Source: SEC Form 4 filings via Insider Transaction Data. All transactions are open-market (Form 4 codes P/S). No 10b5-1 plan initiations were disclosed in the period. The cluster of sales in early May 2026 is consistent with post-earnings selling following CAT's +19% EPS beat and stock surge to ~$890–$927 range; all sales were at prices well above the current ~$830 level, suggesting insiders sold into strength rather than in anticipation of weakness.</w:t>
      </w:r>
    </w:p>
    <w:p>
      <w:r>
        <w:rPr>
          <w:rFonts w:ascii="Calibri" w:hAnsi="Calibri"/>
          <w:b/>
          <w:color w:val="525866"/>
          <w:sz w:val="22"/>
        </w:rPr>
        <w:t xml:space="preserve">Assessment: </w:t>
      </w:r>
      <w:r>
        <w:rPr>
          <w:rFonts w:ascii="Calibri" w:hAnsi="Calibri"/>
          <w:color w:val="525866"/>
          <w:sz w:val="22"/>
        </w:rPr>
        <w:t>The insider activity is not a bearish signal. The post-earnings selling cluster is a routine liquidity event following a large beat and stock surge. The sole open-market buy by Director MacLennan (250 shares at ~$905) is a modest positive signal. The absence of any insider buying at the current ~$830 level (down ~22% from peak) is worth monitoring but is not unusual given the proximity to the Q2 earnings blackout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