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Caterpillar Inc. (CAT)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CAT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August 4, 2026 (Pre-Market)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Q2 2026 (Quarter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Last Earnings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April 30, 2026 (Q1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August 3, 2026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Sector ETF Benchmark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XLI (Industrial Select Sector SPDR)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Setup leans toward a beat — consensus is a manageable bar after Q1's blowout raised the floor, but the single biggest swing factor is whether </w:t>
      </w:r>
      <w:r>
        <w:rPr>
          <w:rFonts w:ascii="Calibri" w:hAnsi="Calibri"/>
          <w:b/>
          <w:color w:val="525866"/>
          <w:sz w:val="22"/>
        </w:rPr>
        <w:t>Power &amp; Energy revenue and backlog progression</w:t>
      </w:r>
      <w:r>
        <w:rPr>
          <w:rFonts w:ascii="Calibri" w:hAnsi="Calibri"/>
          <w:color w:val="525866"/>
          <w:sz w:val="22"/>
        </w:rPr>
        <w:t xml:space="preserve"> can sustain the narrative against a fresh Baird downgrade and growing regulatory noise around data center permitting.</w:t>
      </w:r>
    </w:p>
    <w:p>
      <w:r>
        <w:rPr>
          <w:rFonts w:ascii="Calibri" w:hAnsi="Calibri"/>
          <w:color w:val="525866"/>
          <w:sz w:val="22"/>
        </w:rPr>
        <w:t xml:space="preserve">Heading into Q2 2026, the bar for Caterpillar is elevated but not unreachable: consensus operating EPS sits at ~$6.10 versus $4.72 in Q2 2025, implying roughly 29% year-over-year growth, and management explicitly guided for "another quarter of strong sales growth" with volume increases and favorable price realization across all three primary segments. </w:t>
      </w:r>
    </w:p>
    <w:p>
      <w:r>
        <w:rPr>
          <w:rFonts w:ascii="Calibri" w:hAnsi="Calibri"/>
          <w:b/>
          <w:color w:val="525866"/>
          <w:sz w:val="22"/>
        </w:rPr>
        <w:t xml:space="preserve">Guidance and tone remain constructive: </w:t>
      </w:r>
      <w:r>
        <w:rPr>
          <w:rFonts w:ascii="Calibri" w:hAnsi="Calibri"/>
          <w:color w:val="525866"/>
          <w:sz w:val="22"/>
        </w:rPr>
        <w:t>on the Q1 call, CEO Joe Creed and incoming CFO Kyle Epley signaled confidence in the full-year low double-digit revenue growth target, and the record $63 billion backlog (up 79% year-over-year) provides multi-year visibility that management has consistently characterized as a "strong foundation for continued positive momentum." Tariff costs were guided at ~$700 million for Q2 — a meaningful step-up from ~$400 million in Q2 2025 — but management noted that excluding tariffs, margins would be higher year-over-year, and the full-year tariff estimate was already revised down from $2.6B to $2.2–2.4B after Q1's favorable computation adjustment.</w:t>
      </w:r>
    </w:p>
    <w:p>
      <w:r>
        <w:rPr>
          <w:rFonts w:ascii="Calibri" w:hAnsi="Calibri"/>
          <w:b/>
          <w:color w:val="525866"/>
          <w:sz w:val="22"/>
        </w:rPr>
        <w:t xml:space="preserve">Estimate trajectory is supportive: </w:t>
      </w:r>
      <w:r>
        <w:rPr>
          <w:rFonts w:ascii="Calibri" w:hAnsi="Calibri"/>
          <w:color w:val="525866"/>
          <w:sz w:val="22"/>
        </w:rPr>
        <w:t>Q2 2026 operating EPS consensus has risen from ~$4.65 (as of the Q1 print date) to ~$6.10 currently — a ~31% upward revision — tracking well above the prior-year comp and reflecting the raised full-year guidance. The stock, however, has given back meaningful ground since its June 30 peak of ~$1,065, trading around $815 as of July 31, down ~23% from the high, partly driven by a Baird downgrade on July 29 (cut to Neutral, PT to $900 from $1,200) citing data center permitting headwinds.</w:t>
      </w:r>
    </w:p>
    <w:p>
      <w:r>
        <w:rPr>
          <w:rFonts w:ascii="Calibri" w:hAnsi="Calibri"/>
          <w:b/>
          <w:color w:val="525866"/>
          <w:sz w:val="22"/>
        </w:rPr>
        <w:t xml:space="preserve">Stock setup is mixed: </w:t>
      </w:r>
      <w:r>
        <w:rPr>
          <w:rFonts w:ascii="Calibri" w:hAnsi="Calibri"/>
          <w:color w:val="525866"/>
          <w:sz w:val="22"/>
        </w:rPr>
        <w:t>CAT is up ~89% over the past 12 months and trades at ~29x NTM P/E versus ~21x a year ago — a significant re-rating driven by the AI/data center power narrative. The recent pullback from the June peak has compressed the multiple somewhat, but the stock is still pricing in a durable structural growth story. The wildcard heading into the print is whether management can credibly address the data center permitting/regulatory overhang (New York moratorium cited by Baird) while reaffirming the Power &amp; Energy capacity expansion timeline — any softening in backlog growth or order commentary could accelerate the de-rating.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sets a high but achievable bar on revenue (~$18.9B, +14% YoY) and operating EPS (~$6.10, +29% YoY); the bigger swing factor is </w:t>
      </w:r>
    </w:p>
    <w:p>
      <w:r>
        <w:rPr>
          <w:rFonts w:ascii="Calibri" w:hAnsi="Calibri"/>
          <w:b/>
          <w:color w:val="525866"/>
          <w:sz w:val="22"/>
        </w:rPr>
        <w:t>Power &amp; Energy revenue and backlog trajectory</w:t>
      </w:r>
      <w:r>
        <w:rPr>
          <w:rFonts w:ascii="Calibri" w:hAnsi="Calibri"/>
          <w:color w:val="525866"/>
          <w:sz w:val="22"/>
        </w:rPr>
        <w:t xml:space="preserve"> — any upside there (consensus ~$8.2B) would be the most powerful catalyst, while a miss on margin (consensus ~19.4% adj. operating margin) driven by tariff overrun would be the primary downside risk.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 (All Key KPIs)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 (Last Quarter)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 Period)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 (Est. vs. PY)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Guidance (from Q1 Call)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$17.42B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$16.57B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$18.95B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+14.4%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"Strong sales growth" vs. PY; volume + price in all 3 segments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Directionally consistent; no specific $ range given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Operating EPS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$5.54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$4.72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$6.10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+29.2%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Higher margins YoY incl. tariffs; no specific EPS range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Consistent with guidance direction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Power &amp; Energy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$7.03B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$7.04B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$8.21B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+16.6%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"Strong sales growth" in power gen &amp; oil/gas; favorable price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above PY; consistent with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Construction Industries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$7.16B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$6.19B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$7.17B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+15.8%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"Strong sales growth"; more typical sequential increase vs. Q1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roughly flat vs. Q1; consistent with "more typical"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Resource Industries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$3.80B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$3.89B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$4.04B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"Strong sales growth"; higher sales to users + favorable price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above PY; consistent with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Operating Margin — MP&amp;E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18.5%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18.1%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19.4%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+130 bps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Higher margins YoY incl. tariffs; excl. tariffs, top half of target range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above PY; consistent with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Backlog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$63.0B (record)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$37.5B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$62.7B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+67.2%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backlog guidance; record Q1 backlog cited as foundation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roughly flat vs. Q1 record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MP&amp;E Free Cash Flow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$0.58B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$2.36B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$3.42B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+44.7%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FY2026 FCF expected higher than $9.5B in 2025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Consensus well above Q1 (seasonally weak); consistent with FY guide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Sources: </w:t>
      </w:r>
      <w:r>
        <w:rPr>
          <w:rFonts w:ascii="Calibri" w:hAnsi="Calibri"/>
          <w:i/>
          <w:color w:val="525866"/>
          <w:sz w:val="22"/>
        </w:rPr>
        <w:t>Visible Alpha Consensus and Actuals Data (Total Revenue, Adj. Operating EPS, Segment Revenues, Adj. Operating Margin, Backlog, MP&amp;E FCF); Q1 2026 Earnings Call transcript and Earnings Release (April 30, 2026) for guidance language.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History: Last 8 Quarters (Top 2 KPIs: Adj. Operating EPS &amp; Power &amp; Energy Revenue)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$5.54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$4.65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+19.1%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$7.03B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$6.81B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$5.16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+10.3%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$8.34B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$8.59B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-2.9%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$4.95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$4.50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$7.46B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$7.63B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-2.2%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$4.72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$4.91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-3.9%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$7.04B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$7.57B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-7.0%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In-Line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$5.78B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$6.68B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-13.4%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$5.14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$5.06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$6.74B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$7.99B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-15.6%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Op.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$5.17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$5.36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-3.5%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P&amp;E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$6.39B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$7.25B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-11.9%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CAT has beaten on Adj. Operating EPS in 4 of the last 8 quarters, with the most recent Q1 2026 being the largest beat (+19%). Power &amp; Energy Revenue has been a persistent miss vs. consensus over the prior 6 quarters before Q1 2026 — the segment has consistently been over-estimated by the Street, making Q1 2026's beat particularly notable and raising the bar for Q2.</w:t>
      </w:r>
    </w:p>
    <w:p>
      <w:r>
        <w:rPr>
          <w:rFonts w:ascii="Calibri" w:hAnsi="Calibri"/>
          <w:i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Guidance has moved materially higher since last earnings — full-year revenue raised to low double-digit growth and tariff cost estimate reduced — with </w:t>
      </w:r>
    </w:p>
    <w:p>
      <w:r>
        <w:rPr>
          <w:rFonts w:ascii="Calibri" w:hAnsi="Calibri"/>
          <w:b/>
          <w:color w:val="525866"/>
          <w:sz w:val="22"/>
        </w:rPr>
        <w:t>no post-earnings revisions to the Q1 guidance framework</w:t>
      </w:r>
      <w:r>
        <w:rPr>
          <w:rFonts w:ascii="Calibri" w:hAnsi="Calibri"/>
          <w:color w:val="525866"/>
          <w:sz w:val="22"/>
        </w:rPr>
        <w:t xml:space="preserve"> other than the June 11 dividend increase (7.9% to $1.63/share), which signals management confidence in cash generation.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Apr 30)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Revenue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Low double-digit growth (raised from prior expectations)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~$76.5B (consensus FY2026)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post-earnings revision; consensus tracking with guidance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"Strong sales growth" vs. PY; volume + price in all 3 segments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~$18.95B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post-earnings revision; consensus +14% YoY consistent with guidance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Tariff Costs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~$700M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tracked in VA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Headwind vs. ~$400M in Q2 2025; ~50% in CI, ~25% each in P&amp;E and RI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Tariff Costs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$2.2B–$2.4B (reduced from $2.6B in Jan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tracked in VA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Reduction driven by IEEPA removal + Section 122 addition; mitigation ramp in H2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Adj. Op. Margin (incl. tariffs)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Near bottom of target range; higher than Jan expectation; excl. tariffs: top half of range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~19.0% (FY2026 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near bottom of target range; consistent with guidance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MP&amp;E Free Cash Flow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Higher than $9.5B (2025 level); improved vs. Jan expectations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~$9.6B (FY2026 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roughly in line with guidance floor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CapEx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~$3.5B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tracked in VA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MP&amp;E CapEx to avg. 4–5% of MP&amp;E sales through 2030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Restructuring Costs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~$300M–$350M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Effective Tax Rate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~23% (excl. discrete items)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Quarterly Dividend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$1.51/share (pre-June announcement)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$1.63/share (+7.9%)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Raised via 8-K, June 11, 2026; signals management confidence in cash generation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CAT Q1 2026 Earnings Call Transcript and Earnings Release (April 30, 2026); CAT 8-K (June 11, 2026); Visible Alpha Consensus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moved sharply higher since the Q1 print — Q2 2026 operating EPS consensus is up ~31% from the post-Q1 baseline — reflecting the raised full-year guidance and record backlog; </w:t>
      </w:r>
    </w:p>
    <w:p>
      <w:r>
        <w:rPr>
          <w:rFonts w:ascii="Calibri" w:hAnsi="Calibri"/>
          <w:b/>
          <w:color w:val="525866"/>
          <w:sz w:val="22"/>
        </w:rPr>
        <w:t>estimates are tracking with or above guidance</w:t>
      </w:r>
      <w:r>
        <w:rPr>
          <w:rFonts w:ascii="Calibri" w:hAnsi="Calibri"/>
          <w:color w:val="525866"/>
          <w:sz w:val="22"/>
        </w:rPr>
        <w:t>, leaving limited room for a further upward revision surprise but also suggesting the Street has already priced in a strong quarter.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Q1 Earnings (c. May 7,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(Aug 3,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Op. EPS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$6.14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$6.10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Higher margins YoY incl. tariffs; no specific $ range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Consistent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$19.23B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$18.95B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"Strong sales growth" vs. PY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Consistent; slight moderation from initial post-print estimate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P&amp;E 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$8.38B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$8.21B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-2.0%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"Strong sales growth" in power gen &amp; oil/gas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Slight moderation; still well above PY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Op. EPS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$24.51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$24.50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Low double-digit revenue growth; margin near bottom of target range incl. tariffs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Stable; consistent with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$76.74B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$76.47B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Low double-digit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Stable; consistent with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P&amp;E Revenue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$33.82B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$33.38B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-1.3%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Strong growth; power gen 3x 2024 by 2030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Slight moderation; still tracking well above PY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Commentary: </w:t>
      </w:r>
      <w:r>
        <w:rPr>
          <w:rFonts w:ascii="Calibri" w:hAnsi="Calibri"/>
          <w:color w:val="525866"/>
          <w:sz w:val="22"/>
        </w:rPr>
        <w:t>Estimates have been remarkably stable since the Q1 print — the initial post-earnings consensus spike has modestly faded (Q2 revenue estimate down ~1.5% from the immediate post-print level), likely reflecting the Baird downgrade and data center permitting concerns. The gap between current consensus and guidance is narrow, suggesting the Street is not pricing in a material upside surprise beyond what management guided. The key risk is whether the ~$700M Q2 tariff cost assumption proves accurate or comes in higher, which would pressure margins.</w:t>
      </w:r>
    </w:p>
    <w:p>
      <w:r>
        <w:rPr>
          <w:rFonts w:ascii="Calibri" w:hAnsi="Calibri"/>
          <w:i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Visible Alpha Consensus and Actuals Data (as-of dates: May 7, 2026 and August 3, 2026); CAT Q1 2026 Earnings Call Transcript (April 30,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CAT's post-Q1 rally was driven almost entirely by </w:t>
      </w:r>
    </w:p>
    <w:p>
      <w:r>
        <w:rPr>
          <w:rFonts w:ascii="Calibri" w:hAnsi="Calibri"/>
          <w:b/>
          <w:color w:val="525866"/>
          <w:sz w:val="22"/>
        </w:rPr>
        <w:t>multiple expansion</w:t>
      </w:r>
      <w:r>
        <w:rPr>
          <w:rFonts w:ascii="Calibri" w:hAnsi="Calibri"/>
          <w:color w:val="525866"/>
          <w:sz w:val="22"/>
        </w:rPr>
        <w:t xml:space="preserve"> on the AI/data center power narrative — the stock surged ~20% from the Q1 earnings date to its June 30 peak of ~$1,065 — but has since given back ~22% to ~$815 as the Baird downgrade and data center regulatory concerns triggered a de-rating; the stock now trades at ~29x NTM P/E vs. ~36x at the June peak, suggesting some but not all of the froth has been removed.</w:t>
      </w:r>
    </w:p>
    <w:p>
      <w:r>
        <w:rPr>
          <w:rFonts w:ascii="Calibri" w:hAnsi="Calibri"/>
          <w:b/>
          <w:color w:val="525866"/>
          <w:sz w:val="22"/>
        </w:rPr>
        <w:t>Performance Summary (April 30 — August 4, 2026):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Security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Price at Q1 Earnings (Apr 30)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Peak Price (Jun 30)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Price Aug 4, 2026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Return Since Q1 Earnings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CAT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$890.11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$1,064.90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$830.03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-6.8%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XLI (Industrial ETF)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$174.58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$185.23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$183.16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+4.9%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S&amp;P 500 (SPY)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$718.66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$747.03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$757.67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+5.4%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>Key Events Since Q1 Earnings: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30, 2026:</w:t>
      </w:r>
      <w:r>
        <w:rPr>
          <w:rFonts w:ascii="Calibri" w:hAnsi="Calibri"/>
          <w:color w:val="525866"/>
          <w:sz w:val="22"/>
        </w:rPr>
        <w:t xml:space="preserve"> Q1 2026 earnings beat; record $63B backlog; full-year guidance raised to low double-digit growth; large reciprocating engine capacity raised to ~3x 2024 levels; stock opened sharply higher.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11, 2026:</w:t>
      </w:r>
      <w:r>
        <w:rPr>
          <w:rFonts w:ascii="Calibri" w:hAnsi="Calibri"/>
          <w:color w:val="525866"/>
          <w:sz w:val="22"/>
        </w:rPr>
        <w:t xml:space="preserve"> CAT raised quarterly dividend 7.9% to $1.63/share via 8-K — signal of management confidence in cash generation.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30, 2026:</w:t>
      </w:r>
      <w:r>
        <w:rPr>
          <w:rFonts w:ascii="Calibri" w:hAnsi="Calibri"/>
          <w:color w:val="525866"/>
          <w:sz w:val="22"/>
        </w:rPr>
        <w:t xml:space="preserve"> CAT reached intraday peak of ~$1,065, up ~20% from Q1 earnings date, driven by continued AI/data center power demand enthusiasm.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29, 2026:</w:t>
      </w:r>
      <w:r>
        <w:rPr>
          <w:rFonts w:ascii="Calibri" w:hAnsi="Calibri"/>
          <w:color w:val="525866"/>
          <w:sz w:val="22"/>
        </w:rPr>
        <w:t xml:space="preserve"> Baird downgraded CAT to Neutral from Outperform, cut PT to $900 from $1,200, citing growing state/local government actions targeting data centers (e.g., New York moratorium on data center construction) as a risk to future orders and backlog progression. Stock fell ~6.5% on the day.</w:t>
      </w:r>
    </w:p>
    <w:p>
      <w:r>
        <w:rPr>
          <w:rFonts w:ascii="Calibri" w:hAnsi="Calibri"/>
          <w:b/>
          <w:color w:val="525866"/>
          <w:sz w:val="22"/>
        </w:rPr>
        <w:t>Valuation Context:</w:t>
      </w:r>
      <w:r>
        <w:rPr>
          <w:rFonts w:ascii="Calibri" w:hAnsi="Calibri"/>
          <w:color w:val="525866"/>
          <w:sz w:val="22"/>
        </w:rPr>
        <w:t xml:space="preserve"> CAT's NTM EV/EBITDA has compressed from ~25x (1 month ago) to ~21x currently, and NTM P/E from ~36x to ~29x, as the stock pulled back from its June peak. Over 12 months, the stock is still up ~90%, with roughly 43% of that driven by multiple expansion and the remainder by earnings growth. The current ~29x NTM P/E remains well above the 5-year historical average of ~18–20x, reflecting the market's continued premium for the AI/data center power narrative.</w:t>
      </w:r>
    </w:p>
    <w:p>
      <w:r>
        <w:rPr>
          <w:rFonts w:ascii="Calibri" w:hAnsi="Calibri"/>
          <w:i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Stock Price Data (Yahoo Finance); CAT 8-K (June 11, 2026); Stock Performance Decomposition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Commentary &amp; Read-Throughs (Last 60 Days)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Peer read-throughs are broadly constructive for CAT's Q2 print — CNH's August 3 call flagged "continued strength in North America" in construction and cited data centers/power generation as key demand drivers; Eaton's 14% organic growth beat, Carrier's 300%+ data center order surge, and Quanta's massive backlog expansion all validate the AI infrastructure demand thesis underpinning CAT's Power &amp; Energy story. The primary risk flag is the Baird downgrade (July 29) citing data center permitting headwinds, which is a forward-looking concern rather than a current-quarter demand signal.</w:t>
      </w:r>
    </w:p>
    <w:p>
      <w:r>
        <w:rPr>
          <w:rFonts w:ascii="Calibri" w:hAnsi="Calibri"/>
          <w:i/>
          <w:color w:val="525866"/>
          <w:sz w:val="22"/>
        </w:rPr>
        <w:t xml:space="preserve">Methodology Note: </w:t>
      </w:r>
      <w:r>
        <w:rPr>
          <w:rFonts w:ascii="Calibri" w:hAnsi="Calibri"/>
          <w:i/>
          <w:color w:val="525866"/>
          <w:sz w:val="22"/>
        </w:rPr>
        <w:t>Only forward-looking commentary about Q2 2026 conditions or the current operating environment is included. Backward-looking commentary about peers' own historical results is excluded. All commentary sourced from earnings calls and news digests published after each peer's last earnings date.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CNH Industrial (CNH) — Q2 2026 Earnings Call, August 3, 2026 | Relevance: HIGH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Construction demand positive, North America strong: </w:t>
      </w:r>
      <w:r>
        <w:rPr>
          <w:rFonts w:ascii="Calibri" w:hAnsi="Calibri"/>
          <w:color w:val="525866"/>
          <w:sz w:val="22"/>
        </w:rPr>
        <w:t>CNH stated it is "more positive in overall outlook, especially for heavy equipment with a healthy construction markets" and raised construction net sales guidance to +5–10% YoY. For Q3 2026, CNH expects "continued strength in North America, driving global sales up in the low to mid teens year over year" in construction. This is a direct positive read-through for CAT's Construction Industries segment, which management guided for "strong sales growth"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Data centers and power generation cited as key demand drivers: </w:t>
      </w:r>
      <w:r>
        <w:rPr>
          <w:rFonts w:ascii="Calibri" w:hAnsi="Calibri"/>
          <w:color w:val="525866"/>
          <w:sz w:val="22"/>
        </w:rPr>
        <w:t>CNH explicitly noted the construction market is "benefiting from heavy infrastructure build-out, data centers, power generation" and expects "things to get better next year." This validates CAT's Power &amp; Energy and Construction demand thesis heading into the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Tariff trajectory improving in H2: </w:t>
      </w:r>
      <w:r>
        <w:rPr>
          <w:rFonts w:ascii="Calibri" w:hAnsi="Calibri"/>
          <w:color w:val="525866"/>
          <w:sz w:val="22"/>
        </w:rPr>
        <w:t>CNH noted Q3 2026 tariffs expected "about flat year over year" and Q4 tariffs "should actually be a little lower year over year" thanks to lower Section 232 rates. This is a mild positive read-through for CAT's tariff trajectory in H2 2026, consistent with CAT's own guidance for mitigation ramp in the back half.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Agricultural weakness not relevant to CAT: </w:t>
      </w:r>
      <w:r>
        <w:rPr>
          <w:rFonts w:ascii="Calibri" w:hAnsi="Calibri"/>
          <w:color w:val="525866"/>
          <w:sz w:val="22"/>
        </w:rPr>
        <w:t>CNH's ag segment commentary (L-shaped recovery, flat 2027 retail demand) is not a meaningful read-through for CAT's primary segments.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AGCO Corporation (AGCO) — Q2 2026 Earnings Call, July 30, 2026 | Relevance: LOW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Tariff headwinds persist across industrial manufacturers: </w:t>
      </w:r>
      <w:r>
        <w:rPr>
          <w:rFonts w:ascii="Calibri" w:hAnsi="Calibri"/>
          <w:color w:val="525866"/>
          <w:sz w:val="22"/>
        </w:rPr>
        <w:t>AGCO now expects gross tariff costs of ~$115M in 2026 (net $95M after refunds), a $50M YoY increase. While the absolute dollar amount is much smaller than CAT's $2.2–2.4B FY2026 estimate, the directional signal — tariffs remain a meaningful cost headwind for industrial manufacturers — is consistent with CAT's own guidance.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No construction or power generation commentary: </w:t>
      </w:r>
      <w:r>
        <w:rPr>
          <w:rFonts w:ascii="Calibri" w:hAnsi="Calibri"/>
          <w:color w:val="525866"/>
          <w:sz w:val="22"/>
        </w:rPr>
        <w:t>AGCO provided no forward-looking commentary on construction equipment demand or power generation, limiting its read-through value for CAT's core segments.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PACCAR (PCAR) — Q2 2026 Earnings Call, July 28, 2026 | Relevance: MODERATE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North American economy growing, truck market strengthening: </w:t>
      </w:r>
      <w:r>
        <w:rPr>
          <w:rFonts w:ascii="Calibri" w:hAnsi="Calibri"/>
          <w:color w:val="525866"/>
          <w:sz w:val="22"/>
        </w:rPr>
        <w:t>PACCAR's CEO stated "the U.S. economy is growing and the truck market is strengthening," with full-year 2026 U.S./Canada heavy truck market expected at ~250,000 units and H2 at ~145,000 units. The company expects a "very healthy market in 2027." This is a positive macro read-through for CAT's North American construction and resource end markets.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Tariff environment stabilizing: </w:t>
      </w:r>
      <w:r>
        <w:rPr>
          <w:rFonts w:ascii="Calibri" w:hAnsi="Calibri"/>
          <w:color w:val="525866"/>
          <w:sz w:val="22"/>
        </w:rPr>
        <w:t>PACCAR noted its "local for local production provides some tariff benefits" and that the "232 tariffs are durable," providing a "stable tariff operating environment." This is consistent with CAT's own tariff mitigation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Reshoring and infrastructure driving industrial demand: </w:t>
      </w:r>
      <w:r>
        <w:rPr>
          <w:rFonts w:ascii="Calibri" w:hAnsi="Calibri"/>
          <w:color w:val="525866"/>
          <w:sz w:val="22"/>
        </w:rPr>
        <w:t>PACCAR cited "reshoring and local-for-local efforts in the industrial base" as beneficial for trucks and the broader industrial economy — a positive read-through for CAT's construction and resource end markets.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Eaton Corporation (ETN) — Q2 2026 Results, July 31, 2026 | Relevance: HIGH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Massive organic growth beat validates AI power demand: </w:t>
      </w:r>
      <w:r>
        <w:rPr>
          <w:rFonts w:ascii="Calibri" w:hAnsi="Calibri"/>
          <w:color w:val="525866"/>
          <w:sz w:val="22"/>
        </w:rPr>
        <w:t>Eaton reported 14% organic sales growth in Q2 (vs. consensus 9.7%), driven by Electrical Americas and Electrical Global businesses, and raised full-year organic growth guidance to 11–13% (from 9–11%). Eaton raised FY2026 EPS guidance to $13.40–13.60 (from $13.05–13.50). This is a strong positive read-through for CAT's Power &amp; Energy segment, as both companies are beneficiaries of the same AI data center infrastructure build-out.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Carrier Global (CARR) — Q2 2026 Results, July 28, 2026 | Relevance: HIGH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Data center orders surged 300%+ YoY: </w:t>
      </w:r>
      <w:r>
        <w:rPr>
          <w:rFonts w:ascii="Calibri" w:hAnsi="Calibri"/>
          <w:color w:val="525866"/>
          <w:sz w:val="22"/>
        </w:rPr>
        <w:t>Carrier reported total orders up ~40%, commercial HVAC orders up ~65%, and data center orders up more than 300% YoY. Carrier raised FY2026 EPS guidance to $2.90 (from $2.80) and sales to $23B (from $22B). This is a powerful validation of the AI data center infrastructure demand thesis that underpins CAT's Power &amp; Energy growth story.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United Rentals (URI) — Q2 2026 Results, July 22, 2026 | Relevance: MODERATE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Strong construction activity, customers optimistic on large projects: </w:t>
      </w:r>
      <w:r>
        <w:rPr>
          <w:rFonts w:ascii="Calibri" w:hAnsi="Calibri"/>
          <w:color w:val="525866"/>
          <w:sz w:val="22"/>
        </w:rPr>
        <w:t>URI reported Q2 sales of $4.41B (vs. consensus $4.21B) and EBITDA of $2.06B (vs. consensus $1.91B), raising full-year EBITDA guidance to $7.975–8.125B (from $7.625–7.875B). Management stated "growth accelerated in the quarter, with customers remaining optimistic about large projects." This is a direct positive read-through for CAT's Construction Industries segment.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Quanta Services (PWR) — Q2 2026 Results, July 30, 2026 | Relevance: MODERATE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Massive backlog expansion validates infrastructure demand: </w:t>
      </w:r>
      <w:r>
        <w:rPr>
          <w:rFonts w:ascii="Calibri" w:hAnsi="Calibri"/>
          <w:color w:val="525866"/>
          <w:sz w:val="22"/>
        </w:rPr>
        <w:t>PWR reported Q2 EPS of $4.24 (vs. consensus $3.24) and revenue of $9.55B (vs. consensus $8.5B), with backlog expanding to $53.4B from $48.5B in Q1. Management raised full-year EBITDA guidance to $4.09–4.21B (from $3.49–3.65B). The scale of the beat and backlog growth validates the infrastructure and power grid investment cycle that benefits CAT's Power &amp; Energy and Construction segments.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Trane Technologies (TT) — Q2 2026 Results, July 30, 2026 | Relevance: MODERATE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9% organic growth, bookings surged 37%: </w:t>
      </w:r>
      <w:r>
        <w:rPr>
          <w:rFonts w:ascii="Calibri" w:hAnsi="Calibri"/>
          <w:color w:val="525866"/>
          <w:sz w:val="22"/>
        </w:rPr>
        <w:t>Trane reported Q2 EPS of $4.31 (vs. consensus $4.26), with 9% organic revenue growth (vs. consensus +5.25%) and bookings up 37%, including American Commercial HVAC bookings up 50%. The company raised full-year organic growth guidance to 9% (from 7%). Strong commercial HVAC bookings are a positive read-through for non-residential construction activity, which benefits CAT's Construction Industries segment.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Generac Holdings (GNRC) — Q2 2026 Results, July 29, 2026 | Relevance: MODERATE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C&amp;I revenue jumped 29%, backlog grew for both hyperscale and non-hyperscale customers: </w:t>
      </w:r>
      <w:r>
        <w:rPr>
          <w:rFonts w:ascii="Calibri" w:hAnsi="Calibri"/>
          <w:color w:val="525866"/>
          <w:sz w:val="22"/>
        </w:rPr>
        <w:t>Generac reported Q2 EPS of $2.91 (vs. consensus $2.02), with Commercial &amp; Industrial revenue up 29% to $556M (vs. consensus $500M). The company "increased its backlog for both hyperscale and non-hyperscale customers." This is a direct positive read-through for CAT's power generation business, as both companies serve the same data center and industrial power demand.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Baird Downgrade — July 29, 2026 | Relevance: HIGH (Risk Flag)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Downgraded to Neutral, PT cut to $900 from $1,200: </w:t>
      </w:r>
      <w:r>
        <w:rPr>
          <w:rFonts w:ascii="Calibri" w:hAnsi="Calibri"/>
          <w:color w:val="525866"/>
          <w:sz w:val="22"/>
        </w:rPr>
        <w:t>Baird cited growing state and local government actions targeting data centers — specifically a New York moratorium on data center construction — as a potential factor that could impact CAT's future orders, backlog progression, and growth outlook. The stock fell ~6.5% on the day. This is the primary risk flag heading into the Q2 print: if management does not directly address the permitting/regulatory overhang on the earnings call, the stock could remain under pressure even on a beat.</w:t>
      </w:r>
    </w:p>
    <w:p>
      <w:r>
        <w:rPr>
          <w:rFonts w:ascii="Calibri" w:hAnsi="Calibri"/>
          <w:i/>
          <w:color w:val="525866"/>
          <w:sz w:val="22"/>
        </w:rPr>
        <w:t xml:space="preserve">Sources: </w:t>
      </w:r>
      <w:r>
        <w:rPr>
          <w:rFonts w:ascii="Calibri" w:hAnsi="Calibri"/>
          <w:i/>
          <w:color w:val="525866"/>
          <w:sz w:val="22"/>
        </w:rPr>
        <w:t>CNH Q2 2026 Earnings Call Transcript (August 3, 2026); AGCO Q2 2026 Earnings Call Transcript (July 30, 2026); PCAR Q2 2026 Earnings Call Transcript (July 28, 2026); News Digests for ETN, CARR, URI, PWR, TT, GNRC (July 22–31, 2026); Baird downgrade news (July 29,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the </w:t>
      </w:r>
    </w:p>
    <w:p>
      <w:r>
        <w:rPr>
          <w:rFonts w:ascii="Calibri" w:hAnsi="Calibri"/>
          <w:b/>
          <w:color w:val="525866"/>
          <w:sz w:val="22"/>
        </w:rPr>
        <w:t>Baird downgrade on July 29</w:t>
      </w:r>
      <w:r>
        <w:rPr>
          <w:rFonts w:ascii="Calibri" w:hAnsi="Calibri"/>
          <w:color w:val="525866"/>
          <w:sz w:val="22"/>
        </w:rPr>
        <w:t xml:space="preserve"> citing data center permitting headwinds — this is the primary overhang heading into the print and management's response on the call will be the key stock driver. The June 11 dividend increase (7.9%) is the most positive signal, confirming management's confidence in cash generation.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29, 2026 — Baird Downgrade to Neutral, PT $900 (from $1,200): </w:t>
      </w:r>
      <w:r>
        <w:rPr>
          <w:rFonts w:ascii="Calibri" w:hAnsi="Calibri"/>
          <w:color w:val="525866"/>
          <w:sz w:val="22"/>
        </w:rPr>
        <w:t xml:space="preserve">Baird cut CAT to Neutral citing growing state and local government actions targeting data centers, including a New York moratorium on data center construction, as a risk to future orders and backlog progression. Stock fell ~6.5% on the day to ~$783.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This is the single most important pre-print development. Management must address the permitting/regulatory overhang directly on the Q2 call to restore confidence in the Power &amp; Energy growth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26, 2026 — CAT cited as top XLI holding, up ~160% over 2 years: </w:t>
      </w:r>
      <w:r>
        <w:rPr>
          <w:rFonts w:ascii="Calibri" w:hAnsi="Calibri"/>
          <w:color w:val="525866"/>
          <w:sz w:val="22"/>
        </w:rPr>
        <w:t xml:space="preserve">CNBC noted CAT as the top holding in XLI, up nearly 160% from two years ago, with the stock benefiting from AI data center infrastructure build-out. The article noted the S&amp;P 500 industrials sector is trading at a forward P/E above 30, well above its long-term average of ~20.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Elevated sector valuation increases the risk of a de-rating if CAT's AI/data center narrative is challenged.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11, 2026 — CAT Raises Quarterly Dividend 7.9% to $1.63/Share (8-K): </w:t>
      </w:r>
      <w:r>
        <w:rPr>
          <w:rFonts w:ascii="Calibri" w:hAnsi="Calibri"/>
          <w:color w:val="525866"/>
          <w:sz w:val="22"/>
        </w:rPr>
        <w:t xml:space="preserve">Caterpillar announced a 7.9% increase in its quarterly dividend to $1.63 per share, effective for the dividend payable in the third quarter of 2026.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Signals management confidence in sustained free cash flow generation; consistent with the raised FY2026 FCF guidance (&gt;$9.5B).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August 2–3, 2026 — China Manufacturing PMI Contracts to 49.2 in July: </w:t>
      </w:r>
      <w:r>
        <w:rPr>
          <w:rFonts w:ascii="Calibri" w:hAnsi="Calibri"/>
          <w:color w:val="525866"/>
          <w:sz w:val="22"/>
        </w:rPr>
        <w:t xml:space="preserve">China's official manufacturing PMI fell to 49.2 in July (from 50.3 in June), signaling contraction for the first time in five months, with extreme weather cited as a contributing factor.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Mild negative read-through for CAT's Asia/Pacific construction and resource end markets; management will likely be asked about China exposure on the call.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24–25, 2026 — New Section 301 Tariffs (10–12.5%) on 60 Trading Partners Take Effect: </w:t>
      </w:r>
      <w:r>
        <w:rPr>
          <w:rFonts w:ascii="Calibri" w:hAnsi="Calibri"/>
          <w:color w:val="525866"/>
          <w:sz w:val="22"/>
        </w:rPr>
        <w:t xml:space="preserve">The Trump administration imposed new Section 301 tariffs of 10–12.5% on imports from 60 economies, replacing the temporary Section 122 levies that expired July 24. Multiple legal challenges filed by Democratic-led states and small businesses.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CAT's Q1 tariff guidance ($2.2–2.4B FY2026) was based on current policies including Section 122; the switch to Section 301 may have a roughly neutral effect per management's prior commentary, but any deviation could be a Q2 call focus.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21, 2026 — CAT Announces Q2 2026 Earnings Date (August 4, Pre-Market): </w:t>
      </w:r>
      <w:r>
        <w:rPr>
          <w:rFonts w:ascii="Calibri" w:hAnsi="Calibri"/>
          <w:color w:val="525866"/>
          <w:sz w:val="22"/>
        </w:rPr>
        <w:t>Caterpillar confirmed it will announce Q2 2026 financial results on August 4, 2026, before the U.S. market open.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29‱, 2026 — NextEra/Brookfield Announce $100B Nuclear-Powered Data Center Campus in Kentucky: </w:t>
      </w:r>
      <w:r>
        <w:rPr>
          <w:rFonts w:ascii="Calibri" w:hAnsi="Calibri"/>
          <w:color w:val="525866"/>
          <w:sz w:val="22"/>
        </w:rPr>
        <w:t xml:space="preserve">NextEra and Brookfield unveiled plans for a $100 billion nuclear-powered data center campus in Kentucky.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Positive long-term read-through for CAT's power generation business, as large-scale data center projects require substantial power infrastructure including CAT's large gas generator sets and turbines.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20, 2026 — Trump Threatens 50% Tariffs on Canadian Goods: </w:t>
      </w:r>
      <w:r>
        <w:rPr>
          <w:rFonts w:ascii="Calibri" w:hAnsi="Calibri"/>
          <w:color w:val="525866"/>
          <w:sz w:val="22"/>
        </w:rPr>
        <w:t xml:space="preserve">President Trump announced potential 50% tariffs on most Canadian goods effective in 30 days unless Canada drops "discriminatory" trade barriers. </w:t>
      </w:r>
    </w:p>
    <w:p>
      <w:pPr>
        <w:pStyle w:val="ListBullet"/>
        <w:ind w:left="360" w:hanging="360"/>
      </w:pP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CAT has significant North American manufacturing and supply chain exposure; escalating Canada tariffs could increase costs beyond the current $2.2–2.4B FY2026 estimate.</w:t>
      </w:r>
    </w:p>
    <w:p>
      <w:r>
        <w:rPr>
          <w:rFonts w:ascii="Calibri" w:hAnsi="Calibri"/>
          <w:i/>
          <w:color w:val="525866"/>
          <w:sz w:val="22"/>
        </w:rPr>
        <w:t xml:space="preserve">Sources: </w:t>
      </w:r>
      <w:r>
        <w:rPr>
          <w:rFonts w:ascii="Calibri" w:hAnsi="Calibri"/>
          <w:i/>
          <w:color w:val="525866"/>
          <w:sz w:val="22"/>
        </w:rPr>
        <w:t>CAT 8-K (June 11, 2026); CAT Press Release (July 21, 2026); News Digests (July 20–August 3, 2026); Baird downgrade news (July 29,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All insider activity since Q1 earnings consists of </w:t>
      </w:r>
    </w:p>
    <w:p>
      <w:r>
        <w:rPr>
          <w:rFonts w:ascii="Calibri" w:hAnsi="Calibri"/>
          <w:b/>
          <w:color w:val="525866"/>
          <w:sz w:val="22"/>
        </w:rPr>
        <w:t>open-market sales by Group Presidents and the outgoing CFO</w:t>
      </w:r>
      <w:r>
        <w:rPr>
          <w:rFonts w:ascii="Calibri" w:hAnsi="Calibri"/>
          <w:color w:val="525866"/>
          <w:sz w:val="22"/>
        </w:rPr>
        <w:t>, clustered in the first two weeks of May 2026 (immediately following the Q1 earnings beat and stock surge). There is one notable open-market purchase by a Director. The sales pattern is consistent with post-earnings liquidity events at elevated prices rather than a bearish signal — none are flagged as 10b5-1 planned sales in the available data, though the clustering immediately post-earnings is typical of discretionary selling at peak prices.</w:t>
      </w:r>
    </w:p>
    <w:p>
      <w:r>
        <w:rPr>
          <w:rFonts w:ascii="Calibri" w:hAnsi="Calibri"/>
          <w:i/>
          <w:color w:val="525866"/>
          <w:sz w:val="22"/>
        </w:rPr>
        <w:t xml:space="preserve">Data Caveat: </w:t>
      </w:r>
      <w:r>
        <w:rPr>
          <w:rFonts w:ascii="Calibri" w:hAnsi="Calibri"/>
          <w:i/>
          <w:color w:val="525866"/>
          <w:sz w:val="22"/>
        </w:rPr>
        <w:t>Transaction dates reflect execution dates (individual_transaction_date from Form 4 filings). Filing/disclosure dates are noted separately. All transactions are open-market (Form 4, codes P/S). No 10b5-1 plan initiations were flagged in the available data for this period.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Execution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Filing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MacLennan, David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Open Market Buy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250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purchase; notable as the only buy in the period; stock ~$875 at time of purchase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Kaiser, Jason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5,642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Discretionary; sold at elevated post-Q1 earnings prices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Shurman, Rodney Michael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5,639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Discretionary; sold at elevated post-Q1 earnings prices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Bonfield, Andrew R J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CFO Emeritus (outgoing CFO)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15,674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7,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Outgoing CFO (retired effective May 1, 2026); sale consistent with post-retirement liquidity event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 Lange, Bob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24,222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7,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Largest single sale in the period; discretionary; sold at elevated post-Q1 prices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Fassino, Anthony D.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9,152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7,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Discretionary; part of cluster of Group President sales on same day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Schaupp, William E.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Chief Accounting Officer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360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13,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Small sale; discretionary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Fassino, Anthony D.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16,283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11,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12,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Second sale by Fassino; discretionary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Johnson, Denise C.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6,196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13,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Johnson, Denise C.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12,605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Second sale by Johnson; discretionary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Assessment: </w:t>
      </w:r>
      <w:r>
        <w:rPr>
          <w:rFonts w:ascii="Calibri" w:hAnsi="Calibri"/>
          <w:color w:val="525866"/>
          <w:sz w:val="22"/>
        </w:rPr>
        <w:t>The insider activity pattern is not a bearish signal in isolation. The cluster of Group President sales in early May 2026 is consistent with post-earnings liquidity events at elevated prices following the Q1 beat and stock surge (stock was trading ~$875–$930 during the sale window, up sharply from pre-earnings levels). The outgoing CFO Bonfield's sale is consistent with a post-retirement liquidity event. The one notable positive signal is Director MacLennan's open-market purchase of 250 shares on May 4 — a small but directionally positive signal from a non-executive insider. No insider buying has occurred since May 4, and no 10b5-1 plan initiations were flagged in the available data. The absence of any insider buying in the June–July period (when the stock was trading at $860–$1,065) is notable but not alarming given the elevated valuation.</w:t>
      </w:r>
    </w:p>
    <w:p>
      <w:r>
        <w:rPr>
          <w:rFonts w:ascii="Calibri" w:hAnsi="Calibri"/>
          <w:i/>
          <w:color w:val="525866"/>
          <w:sz w:val="22"/>
        </w:rPr>
        <w:t xml:space="preserve">Source: </w:t>
      </w:r>
      <w:r>
        <w:rPr>
          <w:rFonts w:ascii="Calibri" w:hAnsi="Calibri"/>
          <w:i/>
          <w:color w:val="525866"/>
          <w:sz w:val="22"/>
        </w:rPr>
        <w:t>SEC Form 4 Filings (Insider Transaction Data); all transactions are open-market (Form 4, codes P/S). Execution dates reflect individual_transaction_date; filing dates reflect form4_filing_date.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