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w-earnings-predictions--2026-08-05"/>
    <w:p>
      <w:pPr>
        <w:pStyle w:val="Heading1"/>
      </w:pPr>
      <w:r>
        <w:t xml:space="preserve">CDW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(FADE)</w:t>
            </w:r>
          </w:p>
        </w:tc>
        <w:tc>
          <w:tcPr/>
          <w:p>
            <w:pPr>
              <w:pStyle w:val="Compact"/>
            </w:pPr>
            <w:r>
              <w:t xml:space="preserve">The quarter is likely a hardware/backlog-driven revenue beat, but the DRAM supercycle keeps mix hardware-heavy, so gross margin stays compressed (~20.8% vs. ~21.0% cons) — the exact metric that drove the -20% Q1 reaction. With the stock up ~18% since July 22 into 52-wk highs (~$154), the bar is high and beat-and-in-line print invites 'sell-the-news.' Crucially, pull-forward demand front-loads H1, so even a reiterated/modestly-raised FY guide implies an out-period H2 deceleration (implicit cuts); sell-side trims H2/2027 numbers as netted-down/services mix recovery is pushed out. That out-period math plus a stretched setup drives continued fade after the initial drop.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2026-08-05T00:18:58Z</dcterms:created>
  <dcterms:modified xsi:type="dcterms:W3CDTF">2026-08-05T00:18:58Z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