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CDW before writing the preview. Let me start by gathering recent filings, transcripts, and news.Let me read the most recent earnings materials and the year-ago quarter for comparison.Now let me get the year-ago Q2 for the comparison base, recent news, and stock price trend.Let me check for recent news/analyst commentary and any peer read-throughs ahead of the print.Let me read a couple of key macro news items for the memory-pricing backdrop that directly affects CDW.I have what I need. Here's the earnings preview.</w:t>
      </w:r>
    </w:p>
    <w:bookmarkStart w:id="20" w:name="X2872e166a5d44bb0e3d38256289ca9f58ea5c70"/>
    <w:p>
      <w:pPr>
        <w:pStyle w:val="Heading1"/>
      </w:pPr>
      <w:r>
        <w:t xml:space="preserve">CDW Corporation (CDW) — Q2 2026 Earnings Preview</w:t>
      </w:r>
    </w:p>
    <w:p>
      <w:pPr>
        <w:pStyle w:val="FirstParagraph"/>
      </w:pPr>
      <w:r>
        <w:rPr>
          <w:b/>
          <w:bCs/>
        </w:rPr>
        <w:t xml:space="preserve">Report date:</w:t>
      </w:r>
      <w:r>
        <w:t xml:space="preserve"> </w:t>
      </w:r>
      <w:r>
        <w:t xml:space="preserve">Wednesday, August 5, 2026 (call 8:30 a.m. ET) ·</w:t>
      </w:r>
      <w:r>
        <w:t xml:space="preserve"> </w:t>
      </w:r>
      <w:r>
        <w:rPr>
          <w:b/>
          <w:bCs/>
        </w:rPr>
        <w:t xml:space="preserve">Event:</w:t>
      </w:r>
      <w:r>
        <w:t xml:space="preserve"> </w:t>
      </w:r>
      <w:r>
        <w:t xml:space="preserve">Q2 2026 Earnings Call</w:t>
      </w:r>
      <w:r>
        <w:t xml:space="preserve"> </w:t>
      </w:r>
      <w:r>
        <w:rPr>
          <w:i/>
          <w:iCs/>
        </w:rPr>
        <w:t xml:space="preserve">Prepared August 4, 2026</w:t>
      </w:r>
    </w:p>
    <w:p>
      <w:r>
        <w:pict>
          <v:rect style="width:0;height:1.5pt" o:hralign="center" o:hrstd="t" o:hr="t"/>
        </w:pict>
      </w:r>
    </w:p>
    <w:bookmarkStart w:id="9" w:name="the-one-line-setup"/>
    <w:p>
      <w:pPr>
        <w:pStyle w:val="Heading2"/>
      </w:pPr>
      <w:r>
        <w:t xml:space="preserve">The one-line setup</w:t>
      </w:r>
    </w:p>
    <w:p>
      <w:pPr>
        <w:pStyle w:val="FirstParagraph"/>
      </w:pPr>
      <w:r>
        <w:t xml:space="preserve">CDW reports into a genuinely unusual backdrop: a</w:t>
      </w:r>
      <w:r>
        <w:t xml:space="preserve"> </w:t>
      </w:r>
      <w:r>
        <w:rPr>
          <w:b/>
          <w:bCs/>
        </w:rPr>
        <w:t xml:space="preserve">memory/DRAM supercycle</w:t>
      </w:r>
      <w:r>
        <w:t xml:space="preserve"> </w:t>
      </w:r>
      <w:r>
        <w:t xml:space="preserve">is pulling hardware demand forward while squeezing the mix of high-margin software and services CDW earns most on. The stock has round-tripped a violent Q1 reaction and now sits</w:t>
      </w:r>
      <w:r>
        <w:t xml:space="preserve"> </w:t>
      </w:r>
      <w:r>
        <w:rPr>
          <w:b/>
          <w:bCs/>
        </w:rPr>
        <w:t xml:space="preserve">near highs going into the print</w:t>
      </w:r>
      <w:r>
        <w:t xml:space="preserve">, so the bar — especially on margins and second-half tone — is higher than the modest headline guide suggests.</w:t>
      </w:r>
    </w:p>
    <w:p>
      <w:r>
        <w:pict>
          <v:rect style="width:0;height:1.5pt" o:hralign="center" o:hrstd="t" o:hr="t"/>
        </w:pict>
      </w:r>
    </w:p>
    <w:bookmarkEnd w:id="9"/>
    <w:bookmarkStart w:id="10" w:name="where-the-stock-is-going-in"/>
    <w:p>
      <w:pPr>
        <w:pStyle w:val="Heading2"/>
      </w:pPr>
      <w:r>
        <w:t xml:space="preserve">Where the stock is going in</w:t>
      </w:r>
    </w:p>
    <w:p>
      <w:pPr>
        <w:pStyle w:val="Compact"/>
        <w:numPr>
          <w:ilvl w:val="0"/>
          <w:numId w:val="1001"/>
        </w:numPr>
      </w:pPr>
      <w:r>
        <w:t xml:space="preserve">CDW</w:t>
      </w:r>
      <w:r>
        <w:t xml:space="preserve"> </w:t>
      </w:r>
      <w:r>
        <w:rPr>
          <w:b/>
          <w:bCs/>
        </w:rPr>
        <w:t xml:space="preserve">cratered ~20% on the Q1 report</w:t>
      </w:r>
      <w:r>
        <w:t xml:space="preserve"> </w:t>
      </w:r>
      <w:r>
        <w:t xml:space="preserve">(May 6: $136.80 →</w:t>
      </w:r>
      <w:r>
        <w:t xml:space="preserve"> </w:t>
      </w:r>
      <m:oMath>
        <m:r>
          <m:t>109.00</m:t>
        </m:r>
        <m:r>
          <m:rPr>
            <m:sty m:val="p"/>
          </m:rPr>
          <m:t>)</m:t>
        </m:r>
        <m:r>
          <m:t>a</m:t>
        </m:r>
        <m:r>
          <m:t>n</m:t>
        </m:r>
        <m:r>
          <m:t>d</m:t>
        </m:r>
        <m:r>
          <m:t>b</m:t>
        </m:r>
        <m:r>
          <m:t>o</m:t>
        </m:r>
        <m:r>
          <m:t>t</m:t>
        </m:r>
        <m:r>
          <m:t>t</m:t>
        </m:r>
        <m:r>
          <m:t>o</m:t>
        </m:r>
        <m:r>
          <m:t>m</m:t>
        </m:r>
        <m:r>
          <m:t>e</m:t>
        </m:r>
        <m:r>
          <m:t>d</m:t>
        </m:r>
        <m:r>
          <m:t>n</m:t>
        </m:r>
        <m:r>
          <m:t>e</m:t>
        </m:r>
        <m:r>
          <m:t>a</m:t>
        </m:r>
        <m:r>
          <m:t>r</m:t>
        </m:r>
        <m:r>
          <m:rPr>
            <m:sty m:val="p"/>
          </m:rPr>
          <m:t>*</m:t>
        </m:r>
        <m:r>
          <m:rPr>
            <m:sty m:val="p"/>
          </m:rPr>
          <m:t>*</m:t>
        </m:r>
      </m:oMath>
      <w:r>
        <w:t xml:space="preserve">99 on May 12**, even though management</w:t>
      </w:r>
      <w:r>
        <w:t xml:space="preserve"> </w:t>
      </w:r>
      <w:r>
        <w:rPr>
          <w:i/>
          <w:iCs/>
        </w:rPr>
        <w:t xml:space="preserve">raised</w:t>
      </w:r>
      <w:r>
        <w:t xml:space="preserve"> </w:t>
      </w:r>
      <w:r>
        <w:t xml:space="preserve">its gross-profit outlook that day. The tell: gross margin fell 60 bps, non-GAAP operating income grew just 1.8% on 9% sales, and investors focused on margin compression from a hardware-heavy mix.</w:t>
      </w:r>
    </w:p>
    <w:p>
      <w:pPr>
        <w:pStyle w:val="Compact"/>
        <w:numPr>
          <w:ilvl w:val="0"/>
          <w:numId w:val="1001"/>
        </w:numPr>
      </w:pPr>
      <w:r>
        <w:t xml:space="preserve">Since then it has fully recovered and then some —</w:t>
      </w:r>
      <w:r>
        <w:t xml:space="preserve"> </w:t>
      </w:r>
      <w:r>
        <w:rPr>
          <w:b/>
          <w:bCs/>
        </w:rPr>
        <w:t xml:space="preserve">~$154 on Aug 4, up ~18% just since July 22</w:t>
      </w:r>
      <w:r>
        <w:t xml:space="preserve"> </w:t>
      </w:r>
      <w:r>
        <w:t xml:space="preserve">and near 52-week highs. YTD the stock is up roughly 15%.</w:t>
      </w:r>
    </w:p>
    <w:p>
      <w:pPr>
        <w:pStyle w:val="Compact"/>
        <w:numPr>
          <w:ilvl w:val="0"/>
          <w:numId w:val="1001"/>
        </w:numPr>
      </w:pPr>
      <w:r>
        <w:rPr>
          <w:b/>
          <w:bCs/>
        </w:rPr>
        <w:t xml:space="preserve">Implication:</w:t>
      </w:r>
      <w:r>
        <w:t xml:space="preserve"> </w:t>
      </w:r>
      <w:r>
        <w:t xml:space="preserve">the "cheap after a blow-up" cushion is gone. Expectations have re-rated up, so this print is more about</w:t>
      </w:r>
      <w:r>
        <w:t xml:space="preserve"> </w:t>
      </w:r>
      <w:r>
        <w:rPr>
          <w:i/>
          <w:iCs/>
        </w:rPr>
        <w:t xml:space="preserve">confirming</w:t>
      </w:r>
      <w:r>
        <w:t xml:space="preserve"> </w:t>
      </w:r>
      <w:r>
        <w:t xml:space="preserve">the H2 setup (margin normalization, cost savings, guidance raise) than clearing a low bar.</w:t>
      </w:r>
    </w:p>
    <w:p>
      <w:r>
        <w:pict>
          <v:rect style="width:0;height:1.5pt" o:hralign="center" o:hrstd="t" o:hr="t"/>
        </w:pict>
      </w:r>
    </w:p>
    <w:bookmarkEnd w:id="10"/>
    <w:bookmarkStart w:id="11" w:name="X426ee685f2605b776a6055cfa00736cf1e83d55"/>
    <w:p>
      <w:pPr>
        <w:pStyle w:val="Heading2"/>
      </w:pPr>
      <w:r>
        <w:t xml:space="preserve">What the company guided for Q2 (set on the May 6 call)</w:t>
      </w:r>
    </w:p>
    <w:p>
      <w:pPr>
        <w:pStyle w:val="FirstParagraph"/>
      </w:pPr>
      <w:r>
        <w:t xml:space="preserve">Against the year-ago base (Q2 2025: net sales</w:t>
      </w:r>
      <w:r>
        <w:t xml:space="preserve"> </w:t>
      </w:r>
      <m:oMath>
        <m:r>
          <m:t>5</m:t>
        </m:r>
        <m:r>
          <m:rPr>
            <m:sty m:val="p"/>
          </m:rPr>
          <m:t>,</m:t>
        </m:r>
        <m:r>
          <m:t>976.6</m:t>
        </m:r>
        <m:r>
          <m:t>M</m:t>
        </m:r>
        <m:r>
          <m:rPr>
            <m:sty m:val="p"/>
          </m:rPr>
          <m:t>*</m:t>
        </m:r>
        <m:r>
          <m:rPr>
            <m:sty m:val="p"/>
          </m:rPr>
          <m:t>*</m:t>
        </m:r>
        <m:r>
          <m:rPr>
            <m:sty m:val="p"/>
          </m:rPr>
          <m:t>,</m:t>
        </m:r>
        <m:r>
          <m:t>g</m:t>
        </m:r>
        <m:r>
          <m:t>r</m:t>
        </m:r>
        <m:r>
          <m:t>o</m:t>
        </m:r>
        <m:r>
          <m:t>s</m:t>
        </m:r>
        <m:r>
          <m:t>s</m:t>
        </m:r>
        <m:r>
          <m:t>p</m:t>
        </m:r>
        <m:r>
          <m:t>r</m:t>
        </m:r>
        <m:r>
          <m:t>o</m:t>
        </m:r>
        <m:r>
          <m:t>f</m:t>
        </m:r>
        <m:r>
          <m:t>i</m:t>
        </m:r>
        <m:r>
          <m:t>t</m:t>
        </m:r>
        <m:r>
          <m:rPr>
            <m:sty m:val="p"/>
          </m:rPr>
          <m:t>*</m:t>
        </m:r>
        <m:r>
          <m:rPr>
            <m:sty m:val="p"/>
          </m:rPr>
          <m:t>*</m:t>
        </m:r>
      </m:oMath>
      <w:r>
        <w:rPr>
          <w:b/>
          <w:bCs/>
        </w:rPr>
        <w:t xml:space="preserve">1,241.2M</w:t>
      </w:r>
      <w:r>
        <w:t xml:space="preserve"> </w:t>
      </w:r>
      <w:r>
        <w:t xml:space="preserve">at 20.8% margin, non-GAAP EPS</w:t>
      </w:r>
      <w:r>
        <w:t xml:space="preserve"> </w:t>
      </w:r>
      <w:r>
        <w:rPr>
          <w:b/>
          <w:bCs/>
        </w:rPr>
        <w:t xml:space="preserve">$2.60</w:t>
      </w:r>
      <w:r>
        <w:t xml:space="preserve">, GAAP EPS $2.05):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Rough implied level</w:t>
            </w:r>
          </w:p>
        </w:tc>
      </w:tr>
      <w:tr>
        <w:tc>
          <w:tcPr/>
          <w:p>
            <w:pPr>
              <w:pStyle w:val="Compact"/>
            </w:pPr>
            <w:r>
              <w:t xml:space="preserve">Gross profit</w:t>
            </w:r>
          </w:p>
        </w:tc>
        <w:tc>
          <w:tcPr/>
          <w:p>
            <w:pPr>
              <w:pStyle w:val="Compact"/>
            </w:pPr>
            <w:r>
              <w:t xml:space="preserve">High-single-digit</w:t>
            </w:r>
            <w:r>
              <w:t xml:space="preserve"> </w:t>
            </w:r>
            <w:r>
              <w:rPr>
                <w:b/>
                <w:bCs/>
              </w:rPr>
              <w:t xml:space="preserve">sequential</w:t>
            </w:r>
            <w:r>
              <w:t xml:space="preserve"> </w:t>
            </w:r>
            <w:r>
              <w:t xml:space="preserve">growth →</w:t>
            </w:r>
            <w:r>
              <w:t xml:space="preserve"> </w:t>
            </w:r>
            <w:r>
              <w:rPr>
                <w:b/>
                <w:bCs/>
              </w:rPr>
              <w:t xml:space="preserve">mid-single-digit YoY</w:t>
            </w:r>
          </w:p>
        </w:tc>
        <w:tc>
          <w:tcPr/>
          <w:p>
            <w:pPr>
              <w:pStyle w:val="Compact"/>
            </w:pPr>
            <w:r>
              <w:t xml:space="preserve">~$1.29–1.30B</w:t>
            </w:r>
          </w:p>
        </w:tc>
      </w:tr>
      <w:tr>
        <w:tc>
          <w:tcPr/>
          <w:p>
            <w:pPr>
              <w:pStyle w:val="Compact"/>
            </w:pPr>
            <w:r>
              <w:t xml:space="preserve">SG&amp;A</w:t>
            </w:r>
          </w:p>
        </w:tc>
        <w:tc>
          <w:tcPr/>
          <w:p>
            <w:pPr>
              <w:pStyle w:val="Compact"/>
            </w:pPr>
            <w:r>
              <w:t xml:space="preserve">Modestly higher than Q1; opex/GP ratio seasonally lower than Q1, ~ in line with Q2'25</w:t>
            </w:r>
          </w:p>
        </w:tc>
        <w:tc>
          <w:tcPr/>
          <w:p>
            <w:pPr>
              <w:pStyle w:val="Compact"/>
            </w:pPr>
            <w:r>
              <w:t xml:space="preserve">—</w:t>
            </w:r>
          </w:p>
        </w:tc>
      </w:tr>
      <w:tr>
        <w:tc>
          <w:tcPr/>
          <w:p>
            <w:pPr>
              <w:pStyle w:val="Compact"/>
            </w:pPr>
            <w:r>
              <w:t xml:space="preserve">Non-GAAP EPS</w:t>
            </w:r>
          </w:p>
        </w:tc>
        <w:tc>
          <w:tcPr/>
          <w:p>
            <w:pPr>
              <w:pStyle w:val="Compact"/>
            </w:pPr>
            <w:r>
              <w:rPr>
                <w:b/>
                <w:bCs/>
              </w:rPr>
              <w:t xml:space="preserve">Up high-single-digits YoY</w:t>
            </w:r>
          </w:p>
        </w:tc>
        <w:tc>
          <w:tcPr/>
          <w:p>
            <w:pPr>
              <w:pStyle w:val="Compact"/>
            </w:pPr>
            <w:r>
              <w:t xml:space="preserve">~$2.80–2.86</w:t>
            </w:r>
          </w:p>
        </w:tc>
      </w:tr>
    </w:tbl>
    <w:p>
      <w:pPr>
        <w:pStyle w:val="BodyText"/>
      </w:pPr>
      <w:r>
        <w:rPr>
          <w:b/>
          <w:bCs/>
        </w:rPr>
        <w:t xml:space="preserve">Full-year 2026 framework:</w:t>
      </w:r>
      <w:r>
        <w:t xml:space="preserve"> </w:t>
      </w:r>
      <w:r>
        <w:t xml:space="preserve">low-single-digit growth in the U.S. IT addressable market, CDW outperformance of</w:t>
      </w:r>
      <w:r>
        <w:t xml:space="preserve"> </w:t>
      </w:r>
      <w:r>
        <w:rPr>
          <w:b/>
          <w:bCs/>
        </w:rPr>
        <w:t xml:space="preserve">200–300 bps</w:t>
      </w:r>
      <w:r>
        <w:t xml:space="preserve">, gross profit growth of</w:t>
      </w:r>
      <w:r>
        <w:t xml:space="preserve"> </w:t>
      </w:r>
      <w:r>
        <w:rPr>
          <w:b/>
          <w:bCs/>
        </w:rPr>
        <w:t xml:space="preserve">low-to-mid-single digits</w:t>
      </w:r>
      <w:r>
        <w:t xml:space="preserve">, gross margin</w:t>
      </w:r>
      <w:r>
        <w:t xml:space="preserve"> </w:t>
      </w:r>
      <w:r>
        <w:rPr>
          <w:b/>
          <w:bCs/>
        </w:rPr>
        <w:t xml:space="preserve">~in line with 2025</w:t>
      </w:r>
      <w:r>
        <w:t xml:space="preserve">, and non-GAAP EPS at the</w:t>
      </w:r>
      <w:r>
        <w:t xml:space="preserve"> </w:t>
      </w:r>
      <w:r>
        <w:rPr>
          <w:b/>
          <w:bCs/>
        </w:rPr>
        <w:t xml:space="preserve">high end of mid-single-digit</w:t>
      </w:r>
      <w:r>
        <w:t xml:space="preserve"> </w:t>
      </w:r>
      <w:r>
        <w:t xml:space="preserve">growth. First half was guided to carry slightly more weight than usual because of pull-forward demand.</w:t>
      </w:r>
    </w:p>
    <w:p>
      <w:r>
        <w:pict>
          <v:rect style="width:0;height:1.5pt" o:hralign="center" o:hrstd="t" o:hr="t"/>
        </w:pict>
      </w:r>
    </w:p>
    <w:bookmarkEnd w:id="11"/>
    <w:bookmarkStart w:id="17" w:name="Xed46e563bc14ea4cef076ecd5e20b531b26d6f5"/>
    <w:p>
      <w:pPr>
        <w:pStyle w:val="Heading2"/>
      </w:pPr>
      <w:r>
        <w:t xml:space="preserve">The five things that actually matter this quarter</w:t>
      </w:r>
    </w:p>
    <w:bookmarkStart w:id="12" w:name="X6f2439a41ce2b8fb23101d97d14765e5076cbde"/>
    <w:p>
      <w:pPr>
        <w:pStyle w:val="Heading3"/>
      </w:pPr>
      <w:r>
        <w:t xml:space="preserve">1. Backlog conversion — the near-term upside lever</w:t>
      </w:r>
    </w:p>
    <w:p>
      <w:pPr>
        <w:pStyle w:val="FirstParagraph"/>
      </w:pPr>
      <w:r>
        <w:t xml:space="preserve">CDW exited Q1 with an</w:t>
      </w:r>
      <w:r>
        <w:t xml:space="preserve"> </w:t>
      </w:r>
      <w:r>
        <w:rPr>
          <w:b/>
          <w:bCs/>
        </w:rPr>
        <w:t xml:space="preserve">elevated backlog</w:t>
      </w:r>
      <w:r>
        <w:t xml:space="preserve"> </w:t>
      </w:r>
      <w:r>
        <w:t xml:space="preserve">because strong written orders (especially solutions hardware and even PCs) couldn't all be shipped. Management explicitly said the Q2 guide was "steeped in Q2" strength from that backlog plus continued order activity.</w:t>
      </w:r>
      <w:r>
        <w:t xml:space="preserve"> </w:t>
      </w:r>
      <w:r>
        <w:rPr>
          <w:b/>
          <w:bCs/>
        </w:rPr>
        <w:t xml:space="preserve">Watch:</w:t>
      </w:r>
      <w:r>
        <w:t xml:space="preserve"> </w:t>
      </w:r>
      <w:r>
        <w:t xml:space="preserve">did the backlog convert cleanly, and is Q2 gross profit at/above the ~$1.29B implied? A beat here is the most likely source of a positive surprise; a shipment slip would disappoint given how the setup was framed.</w:t>
      </w:r>
    </w:p>
    <w:bookmarkEnd w:id="12"/>
    <w:bookmarkStart w:id="13" w:name="X732fe1b0ff97215b9c93a66251fe42c8559f943"/>
    <w:p>
      <w:pPr>
        <w:pStyle w:val="Heading3"/>
      </w:pPr>
      <w:r>
        <w:t xml:space="preserve">2. Gross margin &amp; the netted-down mix — the swing factor</w:t>
      </w:r>
    </w:p>
    <w:p>
      <w:pPr>
        <w:pStyle w:val="FirstParagraph"/>
      </w:pPr>
      <w:r>
        <w:t xml:space="preserve">This is what broke the Q1 reaction. Because customers rushed to buy hardware ahead of price increases, high-margin</w:t>
      </w:r>
      <w:r>
        <w:t xml:space="preserve"> </w:t>
      </w:r>
      <w:r>
        <w:rPr>
          <w:b/>
          <w:bCs/>
        </w:rPr>
        <w:t xml:space="preserve">netted-down revenue (SaaS, cloud, software assurance, warranties)</w:t>
      </w:r>
      <w:r>
        <w:t xml:space="preserve"> </w:t>
      </w:r>
      <w:r>
        <w:t xml:space="preserve">fell to</w:t>
      </w:r>
      <w:r>
        <w:t xml:space="preserve"> </w:t>
      </w:r>
      <w:r>
        <w:rPr>
          <w:b/>
          <w:bCs/>
        </w:rPr>
        <w:t xml:space="preserve">34.5% of gross profit (from 36.5%)</w:t>
      </w:r>
      <w:r>
        <w:t xml:space="preserve">, dragging total gross margin to 21.0%. Management insists this is timing/mix and that netted-down revenue and pro/managed services</w:t>
      </w:r>
      <w:r>
        <w:t xml:space="preserve"> </w:t>
      </w:r>
      <w:r>
        <w:rPr>
          <w:b/>
          <w:bCs/>
        </w:rPr>
        <w:t xml:space="preserve">reaccelerate in H2</w:t>
      </w:r>
      <w:r>
        <w:t xml:space="preserve">.</w:t>
      </w:r>
      <w:r>
        <w:t xml:space="preserve"> </w:t>
      </w:r>
      <w:r>
        <w:rPr>
          <w:b/>
          <w:bCs/>
        </w:rPr>
        <w:t xml:space="preserve">Watch:</w:t>
      </w:r>
      <w:r>
        <w:t xml:space="preserve"> </w:t>
      </w:r>
      <w:r>
        <w:t xml:space="preserve">any early evidence (in Q2 or in the H2 commentary) that software/services mix is turning back up. Continued mix deterioration would keep the margin bears in control despite strong sales.</w:t>
      </w:r>
    </w:p>
    <w:bookmarkEnd w:id="13"/>
    <w:bookmarkStart w:id="14" w:name="X61d7442c3f88717baced1b00ca7c1d232995c98"/>
    <w:p>
      <w:pPr>
        <w:pStyle w:val="Heading3"/>
      </w:pPr>
      <w:r>
        <w:t xml:space="preserve">3. The second-half demand-destruction risk (memory prices)</w:t>
      </w:r>
    </w:p>
    <w:p>
      <w:pPr>
        <w:pStyle w:val="FirstParagraph"/>
      </w:pPr>
      <w:r>
        <w:t xml:space="preserve">This is the single biggest debate. The macro tape is unambiguous: the AI boom is heavily monopolizing DRAM production, particularly high-bandwidth memory, likely driving a persistent supply shortage through 2027, with new fabs not meaningfully boosting output until 2028. The read-through to enterprise buyers is already visible — when IBM missed badly in July, the explanation was that companies are buying more hardware today at the expense of other areas because memory prices are rising and servers/storage will get more expensive next quarter. For CDW this is</w:t>
      </w:r>
      <w:r>
        <w:t xml:space="preserve"> </w:t>
      </w:r>
      <w:r>
        <w:rPr>
          <w:b/>
          <w:bCs/>
        </w:rPr>
        <w:t xml:space="preserve">double-edged</w:t>
      </w:r>
      <w:r>
        <w:t xml:space="preserve">: it juices near-term hardware volumes (customers pull purchases forward) but risks a</w:t>
      </w:r>
      <w:r>
        <w:t xml:space="preserve"> </w:t>
      </w:r>
      <w:r>
        <w:rPr>
          <w:b/>
          <w:bCs/>
        </w:rPr>
        <w:t xml:space="preserve">H2 air pocket</w:t>
      </w:r>
      <w:r>
        <w:t xml:space="preserve"> </w:t>
      </w:r>
      <w:r>
        <w:t xml:space="preserve">once budgets are spent, plus ASP-driven demand elasticity. Management deliberately kept its H2 view prudent and did</w:t>
      </w:r>
      <w:r>
        <w:t xml:space="preserve"> </w:t>
      </w:r>
      <w:r>
        <w:rPr>
          <w:i/>
          <w:iCs/>
        </w:rPr>
        <w:t xml:space="preserve">not</w:t>
      </w:r>
      <w:r>
        <w:t xml:space="preserve"> </w:t>
      </w:r>
      <w:r>
        <w:t xml:space="preserve">raise the second-half outlook in Q1.</w:t>
      </w:r>
      <w:r>
        <w:t xml:space="preserve"> </w:t>
      </w:r>
      <w:r>
        <w:rPr>
          <w:b/>
          <w:bCs/>
        </w:rPr>
        <w:t xml:space="preserve">Watch:</w:t>
      </w:r>
      <w:r>
        <w:t xml:space="preserve"> </w:t>
      </w:r>
      <w:r>
        <w:t xml:space="preserve">whether they now have the confidence to lift the full-year, or reiterate caution.</w:t>
      </w:r>
    </w:p>
    <w:bookmarkEnd w:id="14"/>
    <w:bookmarkStart w:id="15" w:name="Xb6b92b1c62b2d366bf39206d37b5daec0099c52"/>
    <w:p>
      <w:pPr>
        <w:pStyle w:val="Heading3"/>
      </w:pPr>
      <w:r>
        <w:t xml:space="preserve">4. "Geared for Growth" — the margin/EPS story for 2027–28</w:t>
      </w:r>
    </w:p>
    <w:p>
      <w:pPr>
        <w:pStyle w:val="FirstParagraph"/>
      </w:pPr>
      <w:r>
        <w:t xml:space="preserve">Management introduced a multi-year AI-powered cost/operating-model overhaul, guiding to</w:t>
      </w:r>
      <w:r>
        <w:t xml:space="preserve"> </w:t>
      </w:r>
      <w:r>
        <w:rPr>
          <w:b/>
          <w:bCs/>
        </w:rPr>
        <w:t xml:space="preserve">$100M gross run-rate savings in 2027 and up to $200M into 2028</w:t>
      </w:r>
      <w:r>
        <w:t xml:space="preserve"> </w:t>
      </w:r>
      <w:r>
        <w:t xml:space="preserve">(roughly half reinvested), with benefits "beginning to flow through in the</w:t>
      </w:r>
      <w:r>
        <w:t xml:space="preserve"> </w:t>
      </w:r>
      <w:r>
        <w:rPr>
          <w:b/>
          <w:bCs/>
        </w:rPr>
        <w:t xml:space="preserve">second half of 2026</w:t>
      </w:r>
      <w:r>
        <w:t xml:space="preserve">." This underpins the promised return to</w:t>
      </w:r>
      <w:r>
        <w:t xml:space="preserve"> </w:t>
      </w:r>
      <w:r>
        <w:rPr>
          <w:b/>
          <w:bCs/>
        </w:rPr>
        <w:t xml:space="preserve">durable operating leverage</w:t>
      </w:r>
      <w:r>
        <w:t xml:space="preserve"> </w:t>
      </w:r>
      <w:r>
        <w:t xml:space="preserve">and the target SG&amp;A efficiency ratio.</w:t>
      </w:r>
      <w:r>
        <w:t xml:space="preserve"> </w:t>
      </w:r>
      <w:r>
        <w:rPr>
          <w:b/>
          <w:bCs/>
        </w:rPr>
        <w:t xml:space="preserve">Watch:</w:t>
      </w:r>
      <w:r>
        <w:t xml:space="preserve"> </w:t>
      </w:r>
      <w:r>
        <w:t xml:space="preserve">first evidence of SG&amp;A leverage this quarter, any quantification/timeline update, and whether it implies a path back toward the double-digit-EPS algorithm. This is the bull's structural hook.</w:t>
      </w:r>
    </w:p>
    <w:bookmarkEnd w:id="15"/>
    <w:bookmarkStart w:id="16" w:name="Xe0db89d854452065e238daf9b8394c8e36f6154"/>
    <w:p>
      <w:pPr>
        <w:pStyle w:val="Heading3"/>
      </w:pPr>
      <w:r>
        <w:t xml:space="preserve">5. Segment/end-market divergence</w:t>
      </w:r>
    </w:p>
    <w:p>
      <w:pPr>
        <w:pStyle w:val="FirstParagraph"/>
      </w:pPr>
      <w:r>
        <w:t xml:space="preserve">Q1 showed a barbell, and the new reporting structure (Commercial / Government / Education / Other) is still fresh:</w:t>
      </w:r>
    </w:p>
    <w:p>
      <w:pPr>
        <w:pStyle w:val="Compact"/>
        <w:numPr>
          <w:ilvl w:val="0"/>
          <w:numId w:val="1002"/>
        </w:numPr>
      </w:pPr>
      <w:r>
        <w:rPr>
          <w:b/>
          <w:bCs/>
        </w:rPr>
        <w:t xml:space="preserve">Strong:</w:t>
      </w:r>
      <w:r>
        <w:t xml:space="preserve"> </w:t>
      </w:r>
      <w:r>
        <w:t xml:space="preserve">Commercial (+10%, with Financial Services standout +28%), state &amp; local, K-12, and</w:t>
      </w:r>
      <w:r>
        <w:t xml:space="preserve"> </w:t>
      </w:r>
      <w:r>
        <w:rPr>
          <w:b/>
          <w:bCs/>
        </w:rPr>
        <w:t xml:space="preserve">International (UK + Canada) +18%</w:t>
      </w:r>
      <w:r>
        <w:t xml:space="preserve"> </w:t>
      </w:r>
      <w:r>
        <w:t xml:space="preserve">in USD.</w:t>
      </w:r>
    </w:p>
    <w:p>
      <w:pPr>
        <w:pStyle w:val="Compact"/>
        <w:numPr>
          <w:ilvl w:val="0"/>
          <w:numId w:val="1002"/>
        </w:numPr>
      </w:pPr>
      <w:r>
        <w:rPr>
          <w:b/>
          <w:bCs/>
        </w:rPr>
        <w:t xml:space="preserve">Weak/watch:</w:t>
      </w:r>
      <w:r>
        <w:t xml:space="preserve"> </w:t>
      </w:r>
      <w:r>
        <w:rPr>
          <w:b/>
          <w:bCs/>
        </w:rPr>
        <w:t xml:space="preserve">Federal</w:t>
      </w:r>
      <w:r>
        <w:t xml:space="preserve"> </w:t>
      </w:r>
      <w:r>
        <w:t xml:space="preserve">(down, from the prior-year shutdown and procurement delays),</w:t>
      </w:r>
      <w:r>
        <w:t xml:space="preserve"> </w:t>
      </w:r>
      <w:r>
        <w:rPr>
          <w:b/>
          <w:bCs/>
        </w:rPr>
        <w:t xml:space="preserve">Higher Ed</w:t>
      </w:r>
      <w:r>
        <w:t xml:space="preserve"> </w:t>
      </w:r>
      <w:r>
        <w:t xml:space="preserve">(extended decision-making), and</w:t>
      </w:r>
      <w:r>
        <w:t xml:space="preserve"> </w:t>
      </w:r>
      <w:r>
        <w:rPr>
          <w:b/>
          <w:bCs/>
        </w:rPr>
        <w:t xml:space="preserve">client devices/PCs</w:t>
      </w:r>
      <w:r>
        <w:t xml:space="preserve"> </w:t>
      </w:r>
      <w:r>
        <w:t xml:space="preserve">(reported only +3% on tough tariff-driven comps + shipment delays — the Windows-refresh cycle is a swing factor).</w:t>
      </w:r>
    </w:p>
    <w:p>
      <w:r>
        <w:pict>
          <v:rect style="width:0;height:1.5pt" o:hralign="center" o:hrstd="t" o:hr="t"/>
        </w:pict>
      </w:r>
    </w:p>
    <w:bookmarkEnd w:id="16"/>
    <w:bookmarkEnd w:id="17"/>
    <w:bookmarkStart w:id="18" w:name="other-items-to-track"/>
    <w:p>
      <w:pPr>
        <w:pStyle w:val="Heading2"/>
      </w:pPr>
      <w:r>
        <w:t xml:space="preserve">Other items to track</w:t>
      </w:r>
    </w:p>
    <w:p>
      <w:pPr>
        <w:pStyle w:val="Compact"/>
        <w:numPr>
          <w:ilvl w:val="0"/>
          <w:numId w:val="1003"/>
        </w:numPr>
      </w:pPr>
      <w:r>
        <w:rPr>
          <w:b/>
          <w:bCs/>
        </w:rPr>
        <w:t xml:space="preserve">Capital returns:</w:t>
      </w:r>
      <w:r>
        <w:t xml:space="preserve"> </w:t>
      </w:r>
      <w:r>
        <w:t xml:space="preserve">CDW returned **</w:t>
      </w:r>
      <m:oMath>
        <m:r>
          <m:t>282</m:t>
        </m:r>
        <m:r>
          <m:t>M</m:t>
        </m:r>
        <m:r>
          <m:rPr>
            <m:sty m:val="p"/>
          </m:rPr>
          <m:t>(</m:t>
        </m:r>
        <m:r>
          <m:t>112</m:t>
        </m:r>
      </m:oMath>
      <w:r>
        <w:t xml:space="preserve">201M buybacks + $81M dividends, calling its own stock "attractive at this valuation." With the stock now ~40% higher, watch whether repurchase pace moderates. Dividend policy targets ~25% payout; the streak stands at 12 straight annual raises.</w:t>
      </w:r>
    </w:p>
    <w:p>
      <w:pPr>
        <w:pStyle w:val="Compact"/>
        <w:numPr>
          <w:ilvl w:val="0"/>
          <w:numId w:val="1003"/>
        </w:numPr>
      </w:pPr>
      <w:r>
        <w:rPr>
          <w:b/>
          <w:bCs/>
        </w:rPr>
        <w:t xml:space="preserve">Cash flow / working capital:</w:t>
      </w:r>
      <w:r>
        <w:t xml:space="preserve"> </w:t>
      </w:r>
      <w:r>
        <w:t xml:space="preserve">Inventory jumped ~40%+ sequentially in Q1 as CDW leaned in to secure supply, yet FCF still landed in range. In a rising-price environment, watch DSO (was 96), the cash conversion cycle (target high-teens/low-20s), and whether AR/inventory build pressures cash.</w:t>
      </w:r>
    </w:p>
    <w:p>
      <w:pPr>
        <w:pStyle w:val="Compact"/>
        <w:numPr>
          <w:ilvl w:val="0"/>
          <w:numId w:val="1003"/>
        </w:numPr>
      </w:pPr>
      <w:r>
        <w:rPr>
          <w:b/>
          <w:bCs/>
        </w:rPr>
        <w:t xml:space="preserve">Balance sheet:</w:t>
      </w:r>
      <w:r>
        <w:t xml:space="preserve"> </w:t>
      </w:r>
      <w:r>
        <w:t xml:space="preserve">Net debt ~$5.1B, leverage 2.5x (within 2–3x target) — ample flexibility for M&amp;A or buybacks.</w:t>
      </w:r>
    </w:p>
    <w:p>
      <w:pPr>
        <w:pStyle w:val="Compact"/>
        <w:numPr>
          <w:ilvl w:val="0"/>
          <w:numId w:val="1003"/>
        </w:numPr>
      </w:pPr>
      <w:r>
        <w:rPr>
          <w:b/>
          <w:bCs/>
        </w:rPr>
        <w:t xml:space="preserve">AI proof points:</w:t>
      </w:r>
      <w:r>
        <w:t xml:space="preserve"> </w:t>
      </w:r>
      <w:r>
        <w:t xml:space="preserve">Management is leaning hard into "orchestration/full-stack" positioning (e.g., a nearly 8-figure private "AI factory" deal with heavy services attach, and a new Boost Run GPU-as-a-service partnership). Look for more evidence AI is becoming</w:t>
      </w:r>
      <w:r>
        <w:t xml:space="preserve"> </w:t>
      </w:r>
      <w:r>
        <w:rPr>
          <w:b/>
          <w:bCs/>
        </w:rPr>
        <w:t xml:space="preserve">margin-accretive</w:t>
      </w:r>
      <w:r>
        <w:t xml:space="preserve"> </w:t>
      </w:r>
      <w:r>
        <w:t xml:space="preserve">(services attach + recurring revenue) rather than just a low-margin hardware pass-through.</w:t>
      </w:r>
    </w:p>
    <w:p>
      <w:r>
        <w:pict>
          <v:rect style="width:0;height:1.5pt" o:hralign="center" o:hrstd="t" o:hr="t"/>
        </w:pict>
      </w:r>
    </w:p>
    <w:bookmarkEnd w:id="18"/>
    <w:bookmarkStart w:id="19" w:name="bottom-line--how-to-frame-the-reaction"/>
    <w:p>
      <w:pPr>
        <w:pStyle w:val="Heading2"/>
      </w:pPr>
      <w:r>
        <w:t xml:space="preserve">Bottom line / how to frame the reaction</w:t>
      </w:r>
    </w:p>
    <w:p>
      <w:pPr>
        <w:pStyle w:val="Compact"/>
        <w:numPr>
          <w:ilvl w:val="0"/>
          <w:numId w:val="1004"/>
        </w:numPr>
      </w:pPr>
      <w:r>
        <w:rPr>
          <w:b/>
          <w:bCs/>
        </w:rPr>
        <w:t xml:space="preserve">Bull case for the day:</w:t>
      </w:r>
      <w:r>
        <w:t xml:space="preserve"> </w:t>
      </w:r>
      <w:r>
        <w:t xml:space="preserve">clean backlog conversion + a gross-profit beat, early signs netted-down/services mix is turning back up, first tangible SG&amp;A leverage from Geared for Growth, and enough confidence to</w:t>
      </w:r>
      <w:r>
        <w:t xml:space="preserve"> </w:t>
      </w:r>
      <w:r>
        <w:rPr>
          <w:b/>
          <w:bCs/>
        </w:rPr>
        <w:t xml:space="preserve">raise the full-year</w:t>
      </w:r>
      <w:r>
        <w:t xml:space="preserve">. Given AI hardware tailwinds, an in-line-to-better quarter is plausible.</w:t>
      </w:r>
    </w:p>
    <w:p>
      <w:pPr>
        <w:pStyle w:val="Compact"/>
        <w:numPr>
          <w:ilvl w:val="0"/>
          <w:numId w:val="1004"/>
        </w:numPr>
      </w:pPr>
      <w:r>
        <w:rPr>
          <w:b/>
          <w:bCs/>
        </w:rPr>
        <w:t xml:space="preserve">Bear/risk case:</w:t>
      </w:r>
      <w:r>
        <w:t xml:space="preserve"> </w:t>
      </w:r>
      <w:r>
        <w:t xml:space="preserve">with the stock near highs, a simple "meet the guide" print may not be enough. The market will scrutinize (1)</w:t>
      </w:r>
      <w:r>
        <w:t xml:space="preserve"> </w:t>
      </w:r>
      <w:r>
        <w:rPr>
          <w:b/>
          <w:bCs/>
        </w:rPr>
        <w:t xml:space="preserve">gross margin</w:t>
      </w:r>
      <w:r>
        <w:t xml:space="preserve"> </w:t>
      </w:r>
      <w:r>
        <w:t xml:space="preserve">and whether the hardware-heavy mix is still compressing it, and (2) the</w:t>
      </w:r>
      <w:r>
        <w:t xml:space="preserve"> </w:t>
      </w:r>
      <w:r>
        <w:rPr>
          <w:b/>
          <w:bCs/>
        </w:rPr>
        <w:t xml:space="preserve">H2 tone</w:t>
      </w:r>
      <w:r>
        <w:t xml:space="preserve"> </w:t>
      </w:r>
      <w:r>
        <w:t xml:space="preserve">— any hint that memory-driven price increases are starting to destroy demand or push more budget away from CDW's high-margin categories could trigger a repeat of the Q1-style de-rating, even on strong revenue.</w:t>
      </w:r>
    </w:p>
    <w:p>
      <w:pPr>
        <w:pStyle w:val="Compact"/>
        <w:numPr>
          <w:ilvl w:val="0"/>
          <w:numId w:val="1004"/>
        </w:numPr>
      </w:pPr>
      <w:r>
        <w:rPr>
          <w:b/>
          <w:bCs/>
        </w:rPr>
        <w:t xml:space="preserve">Net:</w:t>
      </w:r>
      <w:r>
        <w:t xml:space="preserve"> </w:t>
      </w:r>
      <w:r>
        <w:t xml:space="preserve">revenue/backlog momentum looks like the easy part. The stock's move hinges on</w:t>
      </w:r>
      <w:r>
        <w:t xml:space="preserve"> </w:t>
      </w:r>
      <w:r>
        <w:rPr>
          <w:b/>
          <w:bCs/>
        </w:rPr>
        <w:t xml:space="preserve">margin trajectory and second-half credibility</w:t>
      </w:r>
      <w:r>
        <w:t xml:space="preserve"> </w:t>
      </w:r>
      <w:r>
        <w:t xml:space="preserve">— i.e., whether management converts a hardware-led top line into the operating leverage story it has promised for the back half of 2026 and beyond.</w:t>
      </w:r>
    </w:p>
    <w:p>
      <w:pPr>
        <w:pStyle w:val="FirstParagraph"/>
      </w:pPr>
      <w:r>
        <w:rPr>
          <w:i/>
          <w:iCs/>
        </w:rPr>
        <w:t xml:space="preserve">Note: CDW reports on a calendar-year basis; Q2 2026 covers the three months ended June 30, 2026. Year-ago segment figures were reported under the prior (Corporate/Small Business/Public) structure, so segment comparisons on the new basis will require the recast history CDW filed via 8-K.</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2026-08-05T00:18:58Z</dcterms:created>
  <dcterms:modified xsi:type="dcterms:W3CDTF">2026-08-05T00:18:58Z</dcterms:modified>
</cp:coreProperties>
</file>

<file path=docProps/custom.xml><?xml version="1.0" encoding="utf-8"?>
<Properties xmlns="http://schemas.openxmlformats.org/officeDocument/2006/custom-properties" xmlns:vt="http://schemas.openxmlformats.org/officeDocument/2006/docPropsVTypes"/>
</file>