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~20.7% vs. cons ~21.0%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revenue growth / demand normalization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vs. cons ~mid-single-digit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(mix normalization)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~21.0% (in-line w/ 2025) vs. cons ~21.0%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'Geared for Growth' SG&amp;A savings run-rate ($100-200M by 2027-28)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100</m:t>
              </m:r>
              <m:r>
                <m:rPr>
                  <m:sty m:val="p"/>
                </m:rPr>
                <m:t>−</m:t>
              </m:r>
              <m:r>
                <m:t>200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n</m:t>
              </m:r>
              <m:r>
                <m:t>o</m:t>
              </m:r>
              <m:r>
                <m:t>e</m:t>
              </m:r>
              <m:r>
                <m:t>x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f</m:t>
              </m:r>
              <m:r>
                <m:t>i</m:t>
              </m:r>
              <m:r>
                <m:t>g</m:t>
              </m:r>
              <m:r>
                <m:t>u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150M implied midpoint (2027-2028)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Q2 likely beats on hardware/backlog conversion (corroborated by TD Synnex/Connection prints), but management is expected to reiterate H2 caution rather than raise back-half estimates — meaning the 'improved outlook' stays 'steeped in Q2.' With the stock already up ~50% off May lows and ~10% in the past month pricing in a clean beat, any explicit or implicit signal that Q2 strength is pull-forward (tougher H2 comps, margin mix still hardware-heavy, netted-down recovery pushed later) triggers sell-the-news de-rating and modest downward revisions to H2/FY26 EPS as analysts true-up for magnitude of pull-forward, fading the initial pop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2026-08-05T00:19:41Z</dcterms:created>
  <dcterms:modified xsi:type="dcterms:W3CDTF">2026-08-05T00:19:41Z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