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5b68ed287207595d6c745fa3d97a9efdf3c2156"/>
    <w:p>
      <w:pPr>
        <w:pStyle w:val="Heading1"/>
      </w:pPr>
      <w:r>
        <w:t xml:space="preserve">CDW Corporation (NASDAQ: CDW) — Q2 2026 Earnings Preview</w:t>
      </w:r>
    </w:p>
    <w:p>
      <w:pPr>
        <w:pStyle w:val="FirstParagraph"/>
      </w:pPr>
      <w:r>
        <w:rPr>
          <w:b/>
          <w:bCs/>
        </w:rPr>
        <w:t xml:space="preserve">Report Date:</w:t>
      </w:r>
      <w:r>
        <w:t xml:space="preserve"> </w:t>
      </w:r>
      <w:r>
        <w:t xml:space="preserve">Wednesday, August 5, 2026, 8:30 a.m. ET (before market open)</w:t>
      </w:r>
    </w:p>
    <w:p>
      <w:r>
        <w:pict>
          <v:rect style="width:0;height:1.5pt" o:hralign="center" o:hrstd="t" o:hr="t"/>
        </w:pict>
      </w:r>
    </w:p>
    <w:bookmarkStart w:id="9" w:name="setup-into-the-print"/>
    <w:p>
      <w:pPr>
        <w:pStyle w:val="Heading2"/>
      </w:pPr>
      <w:r>
        <w:t xml:space="preserve">Setup Into the Print</w:t>
      </w:r>
    </w:p>
    <w:p>
      <w:pPr>
        <w:pStyle w:val="FirstParagraph"/>
      </w:pPr>
      <w:r>
        <w:t xml:space="preserve">CDW shares have had a wild 2026. The stock cratered roughly 20% on May 6 after the company's Q1 report despite Q1 revenue beating estimates, as investors focused on margin pressure and cautious commentary about the back half of the year. Since bottoming near</w:t>
      </w:r>
      <w:r>
        <w:t xml:space="preserve"> </w:t>
      </w:r>
      <m:oMath>
        <m:r>
          <m:t>99</m:t>
        </m:r>
        <m:r>
          <m:t>i</m:t>
        </m:r>
        <m:r>
          <m:t>n</m:t>
        </m:r>
        <m:r>
          <m:t>m</m:t>
        </m:r>
        <m:r>
          <m:t>i</m:t>
        </m:r>
        <m:r>
          <m:t>d</m:t>
        </m:r>
        <m:r>
          <m:rPr>
            <m:sty m:val="p"/>
          </m:rPr>
          <m:t>−</m:t>
        </m:r>
        <m:r>
          <m:t>M</m:t>
        </m:r>
        <m:r>
          <m:t>a</m:t>
        </m:r>
        <m:r>
          <m:t>y</m:t>
        </m:r>
        <m:r>
          <m:rPr>
            <m:sty m:val="p"/>
          </m:rPr>
          <m:t>,</m:t>
        </m:r>
        <m:r>
          <m:t>t</m:t>
        </m:r>
        <m:r>
          <m:t>h</m:t>
        </m:r>
        <m:r>
          <m:t>e</m:t>
        </m:r>
        <m:r>
          <m:t>s</m:t>
        </m:r>
        <m:r>
          <m:t>t</m:t>
        </m:r>
        <m:r>
          <m:t>o</m:t>
        </m:r>
        <m:r>
          <m:t>c</m:t>
        </m:r>
        <m:r>
          <m:t>k</m:t>
        </m:r>
        <m:r>
          <m:t>h</m:t>
        </m:r>
        <m:r>
          <m:t>a</m:t>
        </m:r>
        <m:r>
          <m:t>s</m:t>
        </m:r>
        <m:r>
          <m:t>s</m:t>
        </m:r>
        <m:r>
          <m:t>t</m:t>
        </m:r>
        <m:r>
          <m:t>a</m:t>
        </m:r>
        <m:r>
          <m:t>g</m:t>
        </m:r>
        <m:r>
          <m:t>e</m:t>
        </m:r>
        <m:r>
          <m:t>d</m:t>
        </m:r>
        <m:r>
          <m:t>a</m:t>
        </m:r>
        <m:r>
          <m:t>n</m:t>
        </m:r>
        <m:r>
          <m:t>a</m:t>
        </m:r>
        <m:r>
          <m:t>g</m:t>
        </m:r>
        <m:r>
          <m:t>g</m:t>
        </m:r>
        <m:r>
          <m:t>r</m:t>
        </m:r>
        <m:r>
          <m:t>e</m:t>
        </m:r>
        <m:r>
          <m:t>s</m:t>
        </m:r>
        <m:r>
          <m:t>s</m:t>
        </m:r>
        <m:r>
          <m:t>i</m:t>
        </m:r>
        <m:r>
          <m:t>v</m:t>
        </m:r>
        <m:r>
          <m:t>e</m:t>
        </m:r>
        <m:r>
          <m:t>r</m:t>
        </m:r>
        <m:r>
          <m:t>e</m:t>
        </m:r>
        <m:r>
          <m:t>c</m:t>
        </m:r>
        <m:r>
          <m:t>o</m:t>
        </m:r>
        <m:r>
          <m:t>v</m:t>
        </m:r>
        <m:r>
          <m:t>e</m:t>
        </m:r>
        <m:r>
          <m:t>r</m:t>
        </m:r>
        <m:r>
          <m:t>y</m:t>
        </m:r>
        <m:r>
          <m:rPr>
            <m:sty m:val="p"/>
          </m:rPr>
          <m:t>,</m:t>
        </m:r>
        <m:r>
          <m:t>c</m:t>
        </m:r>
        <m:r>
          <m:t>l</m:t>
        </m:r>
        <m:r>
          <m:t>o</m:t>
        </m:r>
        <m:r>
          <m:t>s</m:t>
        </m:r>
        <m:r>
          <m:t>i</m:t>
        </m:r>
        <m:r>
          <m:t>n</m:t>
        </m:r>
        <m:r>
          <m:t>g</m:t>
        </m:r>
        <m:r>
          <m:t>a</m:t>
        </m:r>
        <m:r>
          <m:t>t</m:t>
        </m:r>
        <m:r>
          <m:rPr>
            <m:sty m:val="p"/>
          </m:rPr>
          <m:t>*</m:t>
        </m:r>
        <m:r>
          <m:rPr>
            <m:sty m:val="p"/>
          </m:rPr>
          <m:t>*</m:t>
        </m:r>
      </m:oMath>
      <w:r>
        <w:t xml:space="preserve">154.03 on August 4** — a fresh high for the year and roughly 12% above where it traded right before the Q1 selloff. That rally has been accompanied by a string of sell-side upgrades (JPMorgan and Morgan Stanley both moved to Overweight, Citi raised its target to $145, and other analysts have followed with higher price targets), suggesting the Street has grown more comfortable with the demand backdrop even as it remains split — CDW currently carries a "Moderate Buy" consensus with a mix of Strong Buy and Hold ratings.</w:t>
      </w:r>
    </w:p>
    <w:bookmarkEnd w:id="9"/>
    <w:bookmarkStart w:id="10" w:name="what-happened-last-quarter-q1-2026-recap"/>
    <w:p>
      <w:pPr>
        <w:pStyle w:val="Heading2"/>
      </w:pPr>
      <w:r>
        <w:t xml:space="preserve">What Happened Last Quarter (Q1 2026 Recap)</w:t>
      </w:r>
    </w:p>
    <w:p>
      <w:pPr>
        <w:pStyle w:val="FirstParagraph"/>
      </w:pPr>
      <w:r>
        <w:t xml:space="preserve">CDW's Q1 was a story of strong top-line growth colliding with margin/mix headwinds:</w:t>
      </w:r>
    </w:p>
    <w:p>
      <w:pPr>
        <w:pStyle w:val="Compact"/>
        <w:numPr>
          <w:ilvl w:val="0"/>
          <w:numId w:val="1001"/>
        </w:numPr>
      </w:pPr>
      <w:r>
        <w:rPr>
          <w:b/>
          <w:bCs/>
        </w:rPr>
        <w:t xml:space="preserve">Net sales</w:t>
      </w:r>
      <w:r>
        <w:t xml:space="preserve"> </w:t>
      </w:r>
      <w:r>
        <w:t xml:space="preserve">rose 9.2% to $5.68 billion, gross profit grew 6.0% to $1.19 billion, and non-GAAP EPS of $2.28 grew 6.3% YoY — in line with estimates.</w:t>
      </w:r>
    </w:p>
    <w:p>
      <w:pPr>
        <w:pStyle w:val="Compact"/>
        <w:numPr>
          <w:ilvl w:val="0"/>
          <w:numId w:val="1001"/>
        </w:numPr>
      </w:pPr>
      <w:r>
        <w:t xml:space="preserve">Growth was driven by a</w:t>
      </w:r>
      <w:r>
        <w:t xml:space="preserve"> </w:t>
      </w:r>
      <w:r>
        <w:rPr>
          <w:b/>
          <w:bCs/>
        </w:rPr>
        <w:t xml:space="preserve">surge in infrastructure hardware</w:t>
      </w:r>
      <w:r>
        <w:t xml:space="preserve"> </w:t>
      </w:r>
      <w:r>
        <w:t xml:space="preserve">(networking, servers, and enterprise storage each up more than 20%) as customers rushed to secure product ahead of memory-driven price increases and to build out AI infrastructure. Commercial segment sales rose almost 10%, with</w:t>
      </w:r>
      <w:r>
        <w:t xml:space="preserve"> </w:t>
      </w:r>
      <w:r>
        <w:rPr>
          <w:b/>
          <w:bCs/>
        </w:rPr>
        <w:t xml:space="preserve">Financial Services up 28.2%</w:t>
      </w:r>
      <w:r>
        <w:t xml:space="preserve"> </w:t>
      </w:r>
      <w:r>
        <w:t xml:space="preserve">on AI-inferencing-related storage and server purchases.</w:t>
      </w:r>
    </w:p>
    <w:p>
      <w:pPr>
        <w:pStyle w:val="Compact"/>
        <w:numPr>
          <w:ilvl w:val="0"/>
          <w:numId w:val="1001"/>
        </w:numPr>
      </w:pPr>
      <w:r>
        <w:t xml:space="preserve">The mix shift toward hardware and away from higher-margin, "netted down" categories (SaaS, cloud, software assurance, warranties) pressured gross margin, which fell 60 bps YoY to 21.0%.</w:t>
      </w:r>
    </w:p>
    <w:p>
      <w:pPr>
        <w:pStyle w:val="Compact"/>
        <w:numPr>
          <w:ilvl w:val="0"/>
          <w:numId w:val="1001"/>
        </w:numPr>
      </w:pPr>
      <w:r>
        <w:t xml:space="preserve">Management flagged</w:t>
      </w:r>
      <w:r>
        <w:t xml:space="preserve"> </w:t>
      </w:r>
      <w:r>
        <w:rPr>
          <w:b/>
          <w:bCs/>
        </w:rPr>
        <w:t xml:space="preserve">elevated backlog</w:t>
      </w:r>
      <w:r>
        <w:t xml:space="preserve"> </w:t>
      </w:r>
      <w:r>
        <w:t xml:space="preserve">entering Q2 due to shipment delays and written business that didn't get delivered in Q1, and disclosed a new multi-year efficiency program,</w:t>
      </w:r>
      <w:r>
        <w:t xml:space="preserve"> </w:t>
      </w:r>
      <w:r>
        <w:rPr>
          <w:b/>
          <w:bCs/>
        </w:rPr>
        <w:t xml:space="preserve">"Geared for Growth,"</w:t>
      </w:r>
      <w:r>
        <w:t xml:space="preserve"> </w:t>
      </w:r>
      <w:r>
        <w:t xml:space="preserve">targeting $100–200 million of run-rate SG&amp;A savings by 2027–2028 (net of reinvestment).</w:t>
      </w:r>
    </w:p>
    <w:p>
      <w:pPr>
        <w:pStyle w:val="Compact"/>
        <w:numPr>
          <w:ilvl w:val="0"/>
          <w:numId w:val="1001"/>
        </w:numPr>
      </w:pPr>
      <w:r>
        <w:t xml:space="preserve">Full-year 2026 guidance was nudged up: gross profit now expected to grow low-to-mid single digits (from prior view), gross margin roughly in line with 2025, and non-GAAP EPS growth at the</w:t>
      </w:r>
      <w:r>
        <w:t xml:space="preserve"> </w:t>
      </w:r>
      <w:r>
        <w:rPr>
          <w:b/>
          <w:bCs/>
        </w:rPr>
        <w:t xml:space="preserve">high end of mid-single digits</w:t>
      </w:r>
      <w:r>
        <w:t xml:space="preserve"> </w:t>
      </w:r>
      <w:r>
        <w:t xml:space="preserve">for the year — but management was explicit that the improved outlook was "steeped in Q2," not a change in second-half assumptions, given ongoing uncertainty around demand normalization and pricing.</w:t>
      </w:r>
    </w:p>
    <w:bookmarkEnd w:id="10"/>
    <w:bookmarkStart w:id="11" w:name="Xbac8edb1818605ba5b329f9b04757148862b269"/>
    <w:p>
      <w:pPr>
        <w:pStyle w:val="Heading2"/>
      </w:pPr>
      <w:r>
        <w:t xml:space="preserve">The Big Macro Backdrop: The Memory Supercycle</w:t>
      </w:r>
    </w:p>
    <w:p>
      <w:pPr>
        <w:pStyle w:val="FirstParagraph"/>
      </w:pPr>
      <w:r>
        <w:t xml:space="preserve">The dominant industry dynamic shaping this quarter is the historic DRAM/NAND shortage driven by AI infrastructure buildout. Memory manufacturers have reallocated capacity toward high-bandwidth memory for AI accelerators, and TrendForce projects conventional DRAM contract prices rising another</w:t>
      </w:r>
      <w:r>
        <w:t xml:space="preserve"> </w:t>
      </w:r>
      <w:r>
        <w:rPr>
          <w:b/>
          <w:bCs/>
        </w:rPr>
        <w:t xml:space="preserve">13-18% quarter-over-quarter in Q3 2026</w:t>
      </w:r>
      <w:r>
        <w:t xml:space="preserve"> </w:t>
      </w:r>
      <w:r>
        <w:t xml:space="preserve">after roughly 60% increases in Q2 — a moderation from the blistering pace but still a major cost input for PCs, servers, and storage. This affects CDW two ways: it's driving urgent, pull-forward purchasing of hardware (a tailwind to revenue growth, as seen in Q1), while also compressing gross margin mix and creating uncertainty about when/whether demand normalizes as prices keep climbing. This dynamic is central to management's own framing of Q1 results and Q2/second-half guidance, so expect it to dominate call commentary again.</w:t>
      </w:r>
    </w:p>
    <w:bookmarkEnd w:id="11"/>
    <w:bookmarkStart w:id="12" w:name="consensus-expectations-for-q2-2026"/>
    <w:p>
      <w:pPr>
        <w:pStyle w:val="Heading2"/>
      </w:pPr>
      <w:r>
        <w:t xml:space="preserve">Consensus Expectations for Q2 2026</w:t>
      </w:r>
    </w:p>
    <w:p>
      <w:pPr>
        <w:pStyle w:val="Compact"/>
        <w:numPr>
          <w:ilvl w:val="0"/>
          <w:numId w:val="1002"/>
        </w:numPr>
      </w:pPr>
      <w:r>
        <w:rPr>
          <w:b/>
          <w:bCs/>
        </w:rPr>
        <w:t xml:space="preserve">Revenue:</w:t>
      </w:r>
      <w:r>
        <w:t xml:space="preserve"> </w:t>
      </w:r>
      <w:r>
        <w:t xml:space="preserve">~$6.2–6.3 billion, implying roughly</w:t>
      </w:r>
      <w:r>
        <w:t xml:space="preserve"> </w:t>
      </w:r>
      <w:r>
        <w:rPr>
          <w:b/>
          <w:bCs/>
        </w:rPr>
        <w:t xml:space="preserve">4.6–4.8% YoY growth</w:t>
      </w:r>
      <w:r>
        <w:t xml:space="preserve"> </w:t>
      </w:r>
      <w:r>
        <w:t xml:space="preserve">— a marked deceleration from Q1's 9.2% and from the 10.2% growth CDW posted in Q2 2025, reflecting the guided normalization of the extreme hardware pull-forward.</w:t>
      </w:r>
    </w:p>
    <w:p>
      <w:pPr>
        <w:pStyle w:val="Compact"/>
        <w:numPr>
          <w:ilvl w:val="0"/>
          <w:numId w:val="1002"/>
        </w:numPr>
      </w:pPr>
      <w:r>
        <w:rPr>
          <w:b/>
          <w:bCs/>
        </w:rPr>
        <w:t xml:space="preserve">Non-GAAP EPS:</w:t>
      </w:r>
      <w:r>
        <w:t xml:space="preserve"> </w:t>
      </w:r>
      <w:r>
        <w:t xml:space="preserve">consensus clusters around</w:t>
      </w:r>
      <w:r>
        <w:t xml:space="preserve"> </w:t>
      </w:r>
      <w:r>
        <w:rPr>
          <w:b/>
          <w:bCs/>
        </w:rPr>
        <w:t xml:space="preserve">$2.80–2.83</w:t>
      </w:r>
      <w:r>
        <w:t xml:space="preserve">, up roughly 7-9% from $2.60 in Q2 2025, consistent with management's own guide for "high single-digit" YoY non-GAAP EPS growth.</w:t>
      </w:r>
    </w:p>
    <w:p>
      <w:pPr>
        <w:pStyle w:val="Compact"/>
        <w:numPr>
          <w:ilvl w:val="0"/>
          <w:numId w:val="1002"/>
        </w:numPr>
      </w:pPr>
      <w:r>
        <w:t xml:space="preserve">Estimates have been broadly stable over the past 30 days, and the setup (per Zacks) leans toward a likely in-line-to-modest beat given a positive Earnings ESP reading.</w:t>
      </w:r>
    </w:p>
    <w:p>
      <w:pPr>
        <w:pStyle w:val="Compact"/>
        <w:numPr>
          <w:ilvl w:val="0"/>
          <w:numId w:val="1002"/>
        </w:numPr>
      </w:pPr>
      <w:r>
        <w:t xml:space="preserve">For the</w:t>
      </w:r>
      <w:r>
        <w:t xml:space="preserve"> </w:t>
      </w:r>
      <w:r>
        <w:rPr>
          <w:b/>
          <w:bCs/>
        </w:rPr>
        <w:t xml:space="preserve">full year 2026</w:t>
      </w:r>
      <w:r>
        <w:t xml:space="preserve">, prior to this print analysts were modeling EPS growth around 7%, consistent with management's "high end of mid-single-digits" framing.</w:t>
      </w:r>
    </w:p>
    <w:bookmarkEnd w:id="12"/>
    <w:bookmarkStart w:id="13" w:name="key-things-to-watch-on-the-call"/>
    <w:p>
      <w:pPr>
        <w:pStyle w:val="Heading2"/>
      </w:pPr>
      <w:r>
        <w:t xml:space="preserve">Key Things to Watch on the Call</w:t>
      </w:r>
    </w:p>
    <w:p>
      <w:pPr>
        <w:pStyle w:val="Compact"/>
        <w:numPr>
          <w:ilvl w:val="0"/>
          <w:numId w:val="1003"/>
        </w:numPr>
      </w:pPr>
      <w:r>
        <w:rPr>
          <w:b/>
          <w:bCs/>
        </w:rPr>
        <w:t xml:space="preserve">Did the elevated Q1 backlog convert as expected, and how much pulled forward vs. represents durable demand?</w:t>
      </w:r>
      <w:r>
        <w:t xml:space="preserve"> </w:t>
      </w:r>
      <w:r>
        <w:t xml:space="preserve">Management guided Q2 gross profit to grow high-single-digits sequentially / mid-single-digits YoY, driven largely by backlog that flowed in from Q1. Confirmation (or disappointment) here is the single biggest swing factor.</w:t>
      </w:r>
    </w:p>
    <w:p>
      <w:pPr>
        <w:pStyle w:val="Compact"/>
        <w:numPr>
          <w:ilvl w:val="0"/>
          <w:numId w:val="1003"/>
        </w:numPr>
      </w:pPr>
      <w:r>
        <w:rPr>
          <w:b/>
          <w:bCs/>
        </w:rPr>
        <w:t xml:space="preserve">Second-half trajectory.</w:t>
      </w:r>
      <w:r>
        <w:t xml:space="preserve"> </w:t>
      </w:r>
      <w:r>
        <w:t xml:space="preserve">Management was intentionally cautious about H2, citing "prudent view of uncertainty," and said the Q1 outlook raise was about Q2, not the back half. Investors will want to know whether elevated Q2 order activity is giving management more confidence to raise second-half expectations, or whether normalization (hardware demand cooling as netted-down/services categories return to priority) is playing out as expected.</w:t>
      </w:r>
    </w:p>
    <w:p>
      <w:pPr>
        <w:pStyle w:val="Compact"/>
        <w:numPr>
          <w:ilvl w:val="0"/>
          <w:numId w:val="1003"/>
        </w:numPr>
      </w:pPr>
      <w:r>
        <w:rPr>
          <w:b/>
          <w:bCs/>
        </w:rPr>
        <w:t xml:space="preserve">Gross margin/mix — netted down revenue recovery.</w:t>
      </w:r>
      <w:r>
        <w:t xml:space="preserve"> </w:t>
      </w:r>
      <w:r>
        <w:t xml:space="preserve">CFO Al Miralles said the company expects netted-down revenue (SaaS, cloud, software assurance/warranties) and professional/managed services to reaccelerate in H2 and continue outpacing overall growth longer-term. Watch for signs this mix shift is materializing, which would be a margin tailwind, versus continued hardware-heavy mix, which would keep pressuring blended gross margin (guided "approximately in line with 2025" for the full year).</w:t>
      </w:r>
    </w:p>
    <w:p>
      <w:pPr>
        <w:pStyle w:val="Compact"/>
        <w:numPr>
          <w:ilvl w:val="0"/>
          <w:numId w:val="1003"/>
        </w:numPr>
      </w:pPr>
      <w:r>
        <w:rPr>
          <w:b/>
          <w:bCs/>
        </w:rPr>
        <w:t xml:space="preserve">Pricing pass-through and OEM dynamics.</w:t>
      </w:r>
      <w:r>
        <w:t xml:space="preserve"> </w:t>
      </w:r>
      <w:r>
        <w:t xml:space="preserve">With DRAM/NAND contract prices still rising double digits sequentially, watch commentary on CDW's ability to pass through cost increases, and whether vendor partners are squeezing channel economics — a topic CEO Chris Leahy pushed back on last quarter, saying CDW's scale has kept vendor relationships favorable.</w:t>
      </w:r>
    </w:p>
    <w:p>
      <w:pPr>
        <w:pStyle w:val="Compact"/>
        <w:numPr>
          <w:ilvl w:val="0"/>
          <w:numId w:val="1003"/>
        </w:numPr>
      </w:pPr>
      <w:r>
        <w:rPr>
          <w:b/>
          <w:bCs/>
        </w:rPr>
        <w:t xml:space="preserve">"Geared for Growth" progress.</w:t>
      </w:r>
      <w:r>
        <w:t xml:space="preserve"> </w:t>
      </w:r>
      <w:r>
        <w:t xml:space="preserve">Management guided to benefits beginning to flow through SG&amp;A in the second half of 2026, supporting a return to the targeted SG&amp;A efficiency ratio and operating leverage. Any specifics on realized savings, timing, or increased confidence in the $100-200 million run-rate target (2027-2028) will matter for the multi-year EPS algorithm.</w:t>
      </w:r>
    </w:p>
    <w:p>
      <w:pPr>
        <w:pStyle w:val="Compact"/>
        <w:numPr>
          <w:ilvl w:val="0"/>
          <w:numId w:val="1003"/>
        </w:numPr>
      </w:pPr>
      <w:r>
        <w:rPr>
          <w:b/>
          <w:bCs/>
        </w:rPr>
        <w:t xml:space="preserve">Segment-level detail:</w:t>
      </w:r>
      <w:r>
        <w:t xml:space="preserve"> </w:t>
      </w:r>
      <w:r>
        <w:t xml:space="preserve">Commercial (especially Financial Services, which grew 28% in Q1 on AI inferencing infrastructure) and Federal government (which was pressured by shutdown-related procurement delays) are worth tracking for signs of durability/recovery, respectively. Education/higher-ed decision-making delays are another watch item.</w:t>
      </w:r>
    </w:p>
    <w:p>
      <w:pPr>
        <w:pStyle w:val="Compact"/>
        <w:numPr>
          <w:ilvl w:val="0"/>
          <w:numId w:val="1003"/>
        </w:numPr>
      </w:pPr>
      <w:r>
        <w:rPr>
          <w:b/>
          <w:bCs/>
        </w:rPr>
        <w:t xml:space="preserve">Capital allocation.</w:t>
      </w:r>
      <w:r>
        <w:t xml:space="preserve"> </w:t>
      </w:r>
      <w:r>
        <w:t xml:space="preserve">CDW returned $282 million to shareholders in Q1 (112% of adjusted free cash flow), well ahead of its 2026 target of returning 50-75% of adjusted FCF, while maintaining leverage at 2.5x (within its 2x-3x target range). Watch for continued buyback pace and any M&amp;A commentary given management's opportunistic stance.</w:t>
      </w:r>
    </w:p>
    <w:bookmarkEnd w:id="13"/>
    <w:bookmarkStart w:id="14" w:name="peer-read-through"/>
    <w:p>
      <w:pPr>
        <w:pStyle w:val="Heading2"/>
      </w:pPr>
      <w:r>
        <w:t xml:space="preserve">Peer Read-Through</w:t>
      </w:r>
    </w:p>
    <w:p>
      <w:pPr>
        <w:pStyle w:val="FirstParagraph"/>
      </w:pPr>
      <w:r>
        <w:t xml:space="preserve">Distribution peers that have already reported Q2 results posted strong numbers — TD Synnex delivered revenue growth of 31% (beating estimates by 16.6%), and Connection reported revenue up 12.4% (beating estimates by 11.3%), though Connection's stock was unmoved on the print. The IT distribution &amp; solutions group has been a strong performer into this earnings season, up over 5% on average in the past month, with CDW itself up over 10% — setting a high bar for the actual print to clear.</w:t>
      </w:r>
    </w:p>
    <w:bookmarkEnd w:id="14"/>
    <w:bookmarkStart w:id="15" w:name="bottom-line"/>
    <w:p>
      <w:pPr>
        <w:pStyle w:val="Heading2"/>
      </w:pPr>
      <w:r>
        <w:t xml:space="preserve">Bottom Line</w:t>
      </w:r>
    </w:p>
    <w:p>
      <w:pPr>
        <w:pStyle w:val="FirstParagraph"/>
      </w:pPr>
      <w:r>
        <w:t xml:space="preserve">CDW enters this print with recovered investor sentiment and a stock near yearly highs, but the core debate from Q1 remains unresolved: is the current hardware-led growth surge — fueled by AI infrastructure spend and customers front-running memory price increases — sustainable, or does it represent a pull-forward that sets up tougher comps and margin normalization risk in the back half of 2026? Given consensus is calling for a sharp deceleration in revenue growth (from 9.2% in Q1 to ~4.6% in Q2) alongside continued EPS growth, a beat on both lines with reassuring commentary on H2 demand and the return of higher-margin netted-down/services mix would likely be well received; any signs that backlog conversion disappointed or that second-half caution is deepening could reignite the volatility seen after the last report.</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2026-08-05T00:19:41Z</dcterms:created>
  <dcterms:modified xsi:type="dcterms:W3CDTF">2026-08-05T00:19:41Z</dcterms:modified>
</cp:coreProperties>
</file>

<file path=docProps/custom.xml><?xml version="1.0" encoding="utf-8"?>
<Properties xmlns="http://schemas.openxmlformats.org/officeDocument/2006/custom-properties" xmlns:vt="http://schemas.openxmlformats.org/officeDocument/2006/docPropsVTypes"/>
</file>