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cdw-2026-q2-earnings-preview"/>
    <w:p>
      <w:pPr>
        <w:pStyle w:val="Heading1"/>
      </w:pPr>
      <w:r>
        <w:t xml:space="preserve">CDW 2026 Q2 Earnings Preview</w:t>
      </w:r>
    </w:p>
    <w:p>
      <w:pPr>
        <w:pStyle w:val="BlockText"/>
      </w:pPr>
      <w:r>
        <w:rPr>
          <w:b/>
          <w:bCs/>
        </w:rPr>
        <w:t xml:space="preserve">Date note:</w:t>
      </w:r>
      <w:r>
        <w:t xml:space="preserve"> </w:t>
      </w:r>
      <w:r>
        <w:t xml:space="preserve">August 5, 2026 is today, not tomorrow. I am treating this as a pre-report preview for CDW’s August 5, 2026 Q2 earnings call.</w:t>
      </w:r>
    </w:p>
    <w:bookmarkStart w:id="9" w:name="investment-view-going-into-the-print"/>
    <w:p>
      <w:pPr>
        <w:pStyle w:val="Heading2"/>
      </w:pPr>
      <w:r>
        <w:t xml:space="preserve">Investment view going into the print</w:t>
      </w:r>
    </w:p>
    <w:p>
      <w:pPr>
        <w:pStyle w:val="FirstParagraph"/>
      </w:pPr>
      <w:r>
        <w:t xml:space="preserve">CDW enters Q2 with unusually strong demand signals but a more demanding valuation setup. The central question is no longer whether revenue benefited from AI infrastructure spending, memory-related purchasing urgency, and elevated backlog. It is whether that demand translated into enough</w:t>
      </w:r>
      <w:r>
        <w:t xml:space="preserve"> </w:t>
      </w:r>
      <w:r>
        <w:rPr>
          <w:b/>
          <w:bCs/>
        </w:rPr>
        <w:t xml:space="preserve">gross-profit growth and operating leverage</w:t>
      </w:r>
      <w:r>
        <w:t xml:space="preserve"> </w:t>
      </w:r>
      <w:r>
        <w:t xml:space="preserve">to support—or raise—the full-year outlook.</w:t>
      </w:r>
    </w:p>
    <w:p>
      <w:pPr>
        <w:pStyle w:val="BodyText"/>
      </w:pPr>
      <w:r>
        <w:t xml:space="preserve">Management’s Q1 guidance implies approximately</w:t>
      </w:r>
      <w:r>
        <w:t xml:space="preserve"> </w:t>
      </w:r>
      <m:oMath>
        <m:r>
          <m:t>1.30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Q</m:t>
        </m:r>
        <m:r>
          <m:t>2</m:t>
        </m:r>
        <m:r>
          <m:t>g</m:t>
        </m:r>
        <m:r>
          <m:t>r</m:t>
        </m:r>
        <m:r>
          <m:t>o</m:t>
        </m:r>
        <m:r>
          <m:t>s</m:t>
        </m:r>
        <m:r>
          <m:t>s</m:t>
        </m:r>
        <m:r>
          <m:t>p</m:t>
        </m:r>
        <m:r>
          <m:t>r</m:t>
        </m:r>
        <m:r>
          <m:t>o</m:t>
        </m:r>
        <m:r>
          <m:t>f</m:t>
        </m:r>
        <m:r>
          <m:t>i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2.80 of non-GAAP EPS</w:t>
      </w:r>
      <w:r>
        <w:t xml:space="preserve">. Those are more useful benchmarks than reported revenue because CDW’s revenue recognition and product mix can cause sales to grow much faster than gross profit.</w:t>
      </w:r>
    </w:p>
    <w:p>
      <w:pPr>
        <w:pStyle w:val="BodyText"/>
      </w:pPr>
      <w:r>
        <w:t xml:space="preserve">A clean beat likely requires three things:</w:t>
      </w:r>
    </w:p>
    <w:p>
      <w:pPr>
        <w:pStyle w:val="Compact"/>
        <w:numPr>
          <w:ilvl w:val="0"/>
          <w:numId w:val="1001"/>
        </w:numPr>
      </w:pPr>
      <w:r>
        <w:t xml:space="preserve">Successful conversion of elevated backlog;</w:t>
      </w:r>
    </w:p>
    <w:p>
      <w:pPr>
        <w:pStyle w:val="Compact"/>
        <w:numPr>
          <w:ilvl w:val="0"/>
          <w:numId w:val="1001"/>
        </w:numPr>
      </w:pPr>
      <w:r>
        <w:t xml:space="preserve">Stable product margins despite a hardware-heavy mix; and</w:t>
      </w:r>
    </w:p>
    <w:p>
      <w:pPr>
        <w:pStyle w:val="Compact"/>
        <w:numPr>
          <w:ilvl w:val="0"/>
          <w:numId w:val="1001"/>
        </w:numPr>
      </w:pPr>
      <w:r>
        <w:t xml:space="preserve">Evidence that software, cloud, and services are beginning to recover after customers prioritized hardware in Q1.</w:t>
      </w:r>
    </w:p>
    <w:bookmarkEnd w:id="9"/>
    <w:bookmarkStart w:id="10" w:name="key-reported-and-implied-benchmarks"/>
    <w:p>
      <w:pPr>
        <w:pStyle w:val="Heading2"/>
      </w:pPr>
      <w:r>
        <w:t xml:space="preserve">Key reported and implied benchmarks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Q1 2026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 comparison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Management’s Q2 framework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$5.68B, +9.2% YoY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$5.98B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 explicit revenue target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$1.19B, +6.0%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$1.24B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High-single-digit sequential growth; mid-single-digit YoY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21.0%, -60 bps YoY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Full-year margin approximately in line with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operating income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$452M, +1.8%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$520M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SG&amp;A modestly above Q1; expense ratio similar to Q2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operating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8.0%, -50 bps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8.7%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Sequential improvement expected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$2.28, +6.3%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$2.60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High-single-digit YoY growth, implying about</w:t>
            </w:r>
            <w:r>
              <w:t xml:space="preserve"> </w:t>
            </w:r>
            <w:r>
              <w:rPr>
                <w:b/>
                <w:bCs/>
              </w:rPr>
              <w:t xml:space="preserve">$2.80</w:t>
            </w:r>
          </w:p>
        </w:tc>
      </w:tr>
    </w:tbl>
    <w:p>
      <w:pPr>
        <w:pStyle w:val="BodyText"/>
      </w:pPr>
      <w:r>
        <w:t xml:space="preserve">These are</w:t>
      </w:r>
      <w:r>
        <w:t xml:space="preserve"> </w:t>
      </w:r>
      <w:r>
        <w:rPr>
          <w:b/>
          <w:bCs/>
        </w:rPr>
        <w:t xml:space="preserve">company-implied thresholds, not verified sell-side consensus estimates</w:t>
      </w:r>
      <w:r>
        <w:t xml:space="preserve">.</w:t>
      </w:r>
    </w:p>
    <w:bookmarkEnd w:id="10"/>
    <w:bookmarkStart w:id="12" w:name="Xf7594651e5dc0786e92f65fbe53beba09c8fa5b"/>
    <w:p>
      <w:pPr>
        <w:pStyle w:val="Heading2"/>
      </w:pPr>
      <w:r>
        <w:t xml:space="preserve">1. Backlog conversion should drive the quarter</w:t>
      </w:r>
    </w:p>
    <w:p>
      <w:pPr>
        <w:pStyle w:val="FirstParagraph"/>
      </w:pPr>
      <w:r>
        <w:t xml:space="preserve">CDW entered Q2 with elevated backlog because some strong Q1 orders could not be delivered before quarter-end. Management said the backlog was concentrated in the same categories that drove Q1 growth:</w:t>
      </w:r>
    </w:p>
    <w:p>
      <w:pPr>
        <w:pStyle w:val="Compact"/>
        <w:numPr>
          <w:ilvl w:val="0"/>
          <w:numId w:val="1002"/>
        </w:numPr>
      </w:pPr>
      <w:r>
        <w:t xml:space="preserve">Networking;</w:t>
      </w:r>
    </w:p>
    <w:p>
      <w:pPr>
        <w:pStyle w:val="Compact"/>
        <w:numPr>
          <w:ilvl w:val="0"/>
          <w:numId w:val="1002"/>
        </w:numPr>
      </w:pPr>
      <w:r>
        <w:t xml:space="preserve">Servers;</w:t>
      </w:r>
    </w:p>
    <w:p>
      <w:pPr>
        <w:pStyle w:val="Compact"/>
        <w:numPr>
          <w:ilvl w:val="0"/>
          <w:numId w:val="1002"/>
        </w:numPr>
      </w:pPr>
      <w:r>
        <w:t xml:space="preserve">Enterprise storage;</w:t>
      </w:r>
    </w:p>
    <w:p>
      <w:pPr>
        <w:pStyle w:val="Compact"/>
        <w:numPr>
          <w:ilvl w:val="0"/>
          <w:numId w:val="1002"/>
        </w:numPr>
      </w:pPr>
      <w:r>
        <w:t xml:space="preserve">Client devices; and</w:t>
      </w:r>
    </w:p>
    <w:p>
      <w:pPr>
        <w:pStyle w:val="Compact"/>
        <w:numPr>
          <w:ilvl w:val="0"/>
          <w:numId w:val="1002"/>
        </w:numPr>
      </w:pPr>
      <w:r>
        <w:t xml:space="preserve">Other infrastructure hardware.</w:t>
      </w:r>
    </w:p>
    <w:p>
      <w:pPr>
        <w:pStyle w:val="FirstParagraph"/>
      </w:pPr>
      <w:r>
        <w:t xml:space="preserve">Networking, servers, and storage each grew more than 20% in Q1, while reported client-device growth was held to 3% partly by delayed shipments. Successful delivery of those delayed orders should create a favorable Q2 setup.</w:t>
      </w:r>
    </w:p>
    <w:p>
      <w:pPr>
        <w:pStyle w:val="BodyText"/>
      </w:pPr>
      <w:r>
        <w:t xml:space="preserve">The issue is quality rather than volume. Infrastructure hardware produces significant reported revenue but generally carries lower margins than software assurance, cloud, warranties, and services. Investors should therefore focus on</w:t>
      </w:r>
      <w:r>
        <w:t xml:space="preserve"> </w:t>
      </w:r>
      <w:r>
        <w:rPr>
          <w:b/>
          <w:bCs/>
        </w:rPr>
        <w:t xml:space="preserve">gross-profit conversion from backlog</w:t>
      </w:r>
      <w:r>
        <w:t xml:space="preserve">, not simply whether revenue is strong.</w:t>
      </w:r>
    </w:p>
    <w:bookmarkStart w:id="11" w:name="what-would-be-encouraging"/>
    <w:p>
      <w:pPr>
        <w:pStyle w:val="Heading3"/>
      </w:pPr>
      <w:r>
        <w:t xml:space="preserve">What would be encouraging</w:t>
      </w:r>
    </w:p>
    <w:p>
      <w:pPr>
        <w:pStyle w:val="Compact"/>
        <w:numPr>
          <w:ilvl w:val="0"/>
          <w:numId w:val="1003"/>
        </w:numPr>
      </w:pPr>
      <w:r>
        <w:t xml:space="preserve">Gross profit growth at or above the upper end of mid-single digits;</w:t>
      </w:r>
    </w:p>
    <w:p>
      <w:pPr>
        <w:pStyle w:val="Compact"/>
        <w:numPr>
          <w:ilvl w:val="0"/>
          <w:numId w:val="1003"/>
        </w:numPr>
      </w:pPr>
      <w:r>
        <w:t xml:space="preserve">Backlog declining because of shipments rather than order cancellations;</w:t>
      </w:r>
    </w:p>
    <w:p>
      <w:pPr>
        <w:pStyle w:val="Compact"/>
        <w:numPr>
          <w:ilvl w:val="0"/>
          <w:numId w:val="1003"/>
        </w:numPr>
      </w:pPr>
      <w:r>
        <w:t xml:space="preserve">Continued strong written demand after the Q1 purchasing surge;</w:t>
      </w:r>
    </w:p>
    <w:p>
      <w:pPr>
        <w:pStyle w:val="Compact"/>
        <w:numPr>
          <w:ilvl w:val="0"/>
          <w:numId w:val="1003"/>
        </w:numPr>
      </w:pPr>
      <w:r>
        <w:t xml:space="preserve">Stable non-netted-down product margins; and</w:t>
      </w:r>
    </w:p>
    <w:p>
      <w:pPr>
        <w:pStyle w:val="Compact"/>
        <w:numPr>
          <w:ilvl w:val="0"/>
          <w:numId w:val="1003"/>
        </w:numPr>
      </w:pPr>
      <w:r>
        <w:t xml:space="preserve">No increase in supply-related cancellations or unusually long lead times.</w:t>
      </w:r>
    </w:p>
    <w:bookmarkEnd w:id="11"/>
    <w:bookmarkEnd w:id="12"/>
    <w:bookmarkStart w:id="13" w:name="Xfad8e8c2b9d244c20d56ba5197c350d1896c2c4"/>
    <w:p>
      <w:pPr>
        <w:pStyle w:val="Heading2"/>
      </w:pPr>
      <w:r>
        <w:t xml:space="preserve">2. Gross margin remains the primary risk</w:t>
      </w:r>
    </w:p>
    <w:p>
      <w:pPr>
        <w:pStyle w:val="FirstParagraph"/>
      </w:pPr>
      <w:r>
        <w:t xml:space="preserve">Q1 demonstrated the key tension in the story:</w:t>
      </w:r>
    </w:p>
    <w:p>
      <w:pPr>
        <w:pStyle w:val="Compact"/>
        <w:numPr>
          <w:ilvl w:val="0"/>
          <w:numId w:val="1004"/>
        </w:numPr>
      </w:pPr>
      <w:r>
        <w:t xml:space="preserve">Sales increased 9.2%;</w:t>
      </w:r>
    </w:p>
    <w:p>
      <w:pPr>
        <w:pStyle w:val="Compact"/>
        <w:numPr>
          <w:ilvl w:val="0"/>
          <w:numId w:val="1004"/>
        </w:numPr>
      </w:pPr>
      <w:r>
        <w:t xml:space="preserve">Gross profit increased 6.0%;</w:t>
      </w:r>
    </w:p>
    <w:p>
      <w:pPr>
        <w:pStyle w:val="Compact"/>
        <w:numPr>
          <w:ilvl w:val="0"/>
          <w:numId w:val="1004"/>
        </w:numPr>
      </w:pPr>
      <w:r>
        <w:t xml:space="preserve">Non-GAAP operating income increased only 1.8%; and</w:t>
      </w:r>
    </w:p>
    <w:p>
      <w:pPr>
        <w:pStyle w:val="Compact"/>
        <w:numPr>
          <w:ilvl w:val="0"/>
          <w:numId w:val="1004"/>
        </w:numPr>
      </w:pPr>
      <w:r>
        <w:t xml:space="preserve">Non-GAAP operating margin declined 50 basis points.</w:t>
      </w:r>
    </w:p>
    <w:p>
      <w:pPr>
        <w:pStyle w:val="FirstParagraph"/>
      </w:pPr>
      <w:r>
        <w:t xml:space="preserve">Gross margin fell 60 basis points to 21.0%, primarily because netted-down revenues contributed less to the mix. Customers prioritized physical infrastructure and software licenses while delaying or deemphasizing warranties, software assurance, cloud, and some services.</w:t>
      </w:r>
    </w:p>
    <w:p>
      <w:pPr>
        <w:pStyle w:val="BodyText"/>
      </w:pPr>
      <w:r>
        <w:t xml:space="preserve">Management argued that underlying non-netted-down margins remained stable year over year and that the decline was largely mix-related. Q2 will test that explanation. Another quarter of strong sales but limited operating-income growth would raise questions about whether the AI infrastructure cycle is as economically attractive for CDW as its revenue growth suggests.</w:t>
      </w:r>
    </w:p>
    <w:p>
      <w:pPr>
        <w:pStyle w:val="BodyText"/>
      </w:pPr>
      <w:r>
        <w:t xml:space="preserve">The most important margin disclosures will be:</w:t>
      </w:r>
    </w:p>
    <w:p>
      <w:pPr>
        <w:pStyle w:val="Compact"/>
        <w:numPr>
          <w:ilvl w:val="0"/>
          <w:numId w:val="1005"/>
        </w:numPr>
      </w:pPr>
      <w:r>
        <w:t xml:space="preserve">Netted-down revenue as a percentage of gross profit;</w:t>
      </w:r>
    </w:p>
    <w:p>
      <w:pPr>
        <w:pStyle w:val="Compact"/>
        <w:numPr>
          <w:ilvl w:val="0"/>
          <w:numId w:val="1005"/>
        </w:numPr>
      </w:pPr>
      <w:r>
        <w:t xml:space="preserve">Professional and managed-services growth;</w:t>
      </w:r>
    </w:p>
    <w:p>
      <w:pPr>
        <w:pStyle w:val="Compact"/>
        <w:numPr>
          <w:ilvl w:val="0"/>
          <w:numId w:val="1005"/>
        </w:numPr>
      </w:pPr>
      <w:r>
        <w:t xml:space="preserve">Product margin excluding netted-down revenue;</w:t>
      </w:r>
    </w:p>
    <w:p>
      <w:pPr>
        <w:pStyle w:val="Compact"/>
        <w:numPr>
          <w:ilvl w:val="0"/>
          <w:numId w:val="1005"/>
        </w:numPr>
      </w:pPr>
      <w:r>
        <w:t xml:space="preserve">Vendor incentive realization;</w:t>
      </w:r>
    </w:p>
    <w:p>
      <w:pPr>
        <w:pStyle w:val="Compact"/>
        <w:numPr>
          <w:ilvl w:val="0"/>
          <w:numId w:val="1005"/>
        </w:numPr>
      </w:pPr>
      <w:r>
        <w:t xml:space="preserve">Non-GAAP SG&amp;A growth; and</w:t>
      </w:r>
    </w:p>
    <w:p>
      <w:pPr>
        <w:pStyle w:val="Compact"/>
        <w:numPr>
          <w:ilvl w:val="0"/>
          <w:numId w:val="1005"/>
        </w:numPr>
      </w:pPr>
      <w:r>
        <w:t xml:space="preserve">The incremental operating margin on gross-profit growth.</w:t>
      </w:r>
    </w:p>
    <w:bookmarkEnd w:id="13"/>
    <w:bookmarkStart w:id="14" w:name="Xef12241e8e8fa23ca2afecf4e64111274adab5c"/>
    <w:p>
      <w:pPr>
        <w:pStyle w:val="Heading2"/>
      </w:pPr>
      <w:r>
        <w:t xml:space="preserve">3. Has customer urgency persisted—or was demand pulled forward?</w:t>
      </w:r>
    </w:p>
    <w:p>
      <w:pPr>
        <w:pStyle w:val="FirstParagraph"/>
      </w:pPr>
      <w:r>
        <w:t xml:space="preserve">Management attributed part of Q1 strength to customers purchasing ahead of anticipated memory price increases and possible supply constraints. It also acknowledged some pull-forward of demand, while describing continued customer activity early in Q2 as stronger than expected.</w:t>
      </w:r>
    </w:p>
    <w:p>
      <w:pPr>
        <w:pStyle w:val="BodyText"/>
      </w:pPr>
      <w:r>
        <w:t xml:space="preserve">The report should clarify how much Q2 growth came from:</w:t>
      </w:r>
    </w:p>
    <w:p>
      <w:pPr>
        <w:pStyle w:val="Compact"/>
        <w:numPr>
          <w:ilvl w:val="0"/>
          <w:numId w:val="1006"/>
        </w:numPr>
      </w:pPr>
      <w:r>
        <w:t xml:space="preserve">Underlying IT modernization and AI demand;</w:t>
      </w:r>
    </w:p>
    <w:p>
      <w:pPr>
        <w:pStyle w:val="Compact"/>
        <w:numPr>
          <w:ilvl w:val="0"/>
          <w:numId w:val="1006"/>
        </w:numPr>
      </w:pPr>
      <w:r>
        <w:t xml:space="preserve">Price inflation;</w:t>
      </w:r>
    </w:p>
    <w:p>
      <w:pPr>
        <w:pStyle w:val="Compact"/>
        <w:numPr>
          <w:ilvl w:val="0"/>
          <w:numId w:val="1006"/>
        </w:numPr>
      </w:pPr>
      <w:r>
        <w:t xml:space="preserve">Orders shifted out of Q1 because of delivery delays; and</w:t>
      </w:r>
    </w:p>
    <w:p>
      <w:pPr>
        <w:pStyle w:val="Compact"/>
        <w:numPr>
          <w:ilvl w:val="0"/>
          <w:numId w:val="1006"/>
        </w:numPr>
      </w:pPr>
      <w:r>
        <w:t xml:space="preserve">Purchases pulled forward from the second half.</w:t>
      </w:r>
    </w:p>
    <w:p>
      <w:pPr>
        <w:pStyle w:val="FirstParagraph"/>
      </w:pPr>
      <w:r>
        <w:t xml:space="preserve">This distinction matters for guidance. A strong Q2 generated mainly by backlog clearance and purchasing urgency may not support a higher full-year forecast. Conversely, continued order growth after backlog conversion would suggest the current infrastructure cycle is more durable.</w:t>
      </w:r>
    </w:p>
    <w:p>
      <w:pPr>
        <w:pStyle w:val="BodyText"/>
      </w:pPr>
      <w:r>
        <w:t xml:space="preserve">Management previously expected hardware demand to normalize rather than “drop off a cliff” in the second half. Investors will want an updated assessment of that assumption.</w:t>
      </w:r>
    </w:p>
    <w:bookmarkEnd w:id="14"/>
    <w:bookmarkStart w:id="15" w:name="X894ae1b2aef03b22c1ef05c79e4c3e99fa08f5b"/>
    <w:p>
      <w:pPr>
        <w:pStyle w:val="Heading2"/>
      </w:pPr>
      <w:r>
        <w:t xml:space="preserve">4. Services and netted-down revenue need to show a path to recovery</w:t>
      </w:r>
    </w:p>
    <w:p>
      <w:pPr>
        <w:pStyle w:val="FirstParagraph"/>
      </w:pPr>
      <w:r>
        <w:t xml:space="preserve">CDW’s longer-term earnings model depends on attaching higher-margin offerings to hardware transactions. In Q1:</w:t>
      </w:r>
    </w:p>
    <w:p>
      <w:pPr>
        <w:pStyle w:val="Compact"/>
        <w:numPr>
          <w:ilvl w:val="0"/>
          <w:numId w:val="1007"/>
        </w:numPr>
      </w:pPr>
      <w:r>
        <w:t xml:space="preserve">Services revenue was flat;</w:t>
      </w:r>
    </w:p>
    <w:p>
      <w:pPr>
        <w:pStyle w:val="Compact"/>
        <w:numPr>
          <w:ilvl w:val="0"/>
          <w:numId w:val="1007"/>
        </w:numPr>
      </w:pPr>
      <w:r>
        <w:t xml:space="preserve">Professional and managed services increased only low single digits;</w:t>
      </w:r>
    </w:p>
    <w:p>
      <w:pPr>
        <w:pStyle w:val="Compact"/>
        <w:numPr>
          <w:ilvl w:val="0"/>
          <w:numId w:val="1007"/>
        </w:numPr>
      </w:pPr>
      <w:r>
        <w:t xml:space="preserve">Netted-down sales were approximately flat;</w:t>
      </w:r>
    </w:p>
    <w:p>
      <w:pPr>
        <w:pStyle w:val="Compact"/>
        <w:numPr>
          <w:ilvl w:val="0"/>
          <w:numId w:val="1007"/>
        </w:numPr>
      </w:pPr>
      <w:r>
        <w:t xml:space="preserve">Netted-down revenue represented 34.5% of gross profit, down from 36.5%; and</w:t>
      </w:r>
    </w:p>
    <w:p>
      <w:pPr>
        <w:pStyle w:val="Compact"/>
        <w:numPr>
          <w:ilvl w:val="0"/>
          <w:numId w:val="1007"/>
        </w:numPr>
      </w:pPr>
      <w:r>
        <w:t xml:space="preserve">Cloud spending remained healthy but slowed as customers prioritized hardware.</w:t>
      </w:r>
    </w:p>
    <w:p>
      <w:pPr>
        <w:pStyle w:val="FirstParagraph"/>
      </w:pPr>
      <w:r>
        <w:t xml:space="preserve">Management expects cloud, SaaS, warranties, software assurance, and services to become higher priorities in the second half. Q2 may be too early for a full recovery, but commentary around pipelines and attachment rates will be important.</w:t>
      </w:r>
    </w:p>
    <w:p>
      <w:pPr>
        <w:pStyle w:val="BodyText"/>
      </w:pPr>
      <w:r>
        <w:t xml:space="preserve">The strongest possible signal would be evidence that the recent hardware installations are creating follow-on demand for integration, deployment, security, managed services, and AI governance. That would support management’s claim that AI deals can ultimately be margin-accretive despite their hardware component.</w:t>
      </w:r>
    </w:p>
    <w:bookmarkEnd w:id="15"/>
    <w:bookmarkStart w:id="20" w:name="Xd343cd13e94f572ef9045b549c256f1c959d4f4"/>
    <w:p>
      <w:pPr>
        <w:pStyle w:val="Heading2"/>
      </w:pPr>
      <w:r>
        <w:t xml:space="preserve">5. End-market performance could be uneven</w:t>
      </w:r>
    </w:p>
    <w:bookmarkStart w:id="16" w:name="commercial"/>
    <w:p>
      <w:pPr>
        <w:pStyle w:val="Heading3"/>
      </w:pPr>
      <w:r>
        <w:t xml:space="preserve">Commercial</w:t>
      </w:r>
    </w:p>
    <w:p>
      <w:pPr>
        <w:pStyle w:val="FirstParagraph"/>
      </w:pPr>
      <w:r>
        <w:t xml:space="preserve">Commercial was CDW’s largest Q1 growth driver, rising 9.6%. Financial services was especially strong, up 28.2%, with demand for storage and servers supporting AI inference. Corporate grew 8.4%, while healthcare increased 4.9%.</w:t>
      </w:r>
    </w:p>
    <w:p>
      <w:pPr>
        <w:pStyle w:val="BodyText"/>
      </w:pPr>
      <w:r>
        <w:t xml:space="preserve">Investors should watch whether financial-services growth remains exceptional or begins to normalize. Broad commercial strength would be more valuable than another quarter dependent on one vertical.</w:t>
      </w:r>
    </w:p>
    <w:bookmarkEnd w:id="16"/>
    <w:bookmarkStart w:id="17" w:name="government"/>
    <w:p>
      <w:pPr>
        <w:pStyle w:val="Heading3"/>
      </w:pPr>
      <w:r>
        <w:t xml:space="preserve">Government</w:t>
      </w:r>
    </w:p>
    <w:p>
      <w:pPr>
        <w:pStyle w:val="FirstParagraph"/>
      </w:pPr>
      <w:r>
        <w:t xml:space="preserve">Government increased 4.6% in Q1, led by state and local customers. Federal sales declined low single digits because of procurement delays and budget timing following the prior-year government shutdown.</w:t>
      </w:r>
    </w:p>
    <w:p>
      <w:pPr>
        <w:pStyle w:val="BodyText"/>
      </w:pPr>
      <w:r>
        <w:t xml:space="preserve">A federal recovery would improve the mix of Q2 performance. Continued weakness could also become a risk to second-half expectations, particularly if procurement timelines remain extended.</w:t>
      </w:r>
    </w:p>
    <w:bookmarkEnd w:id="17"/>
    <w:bookmarkStart w:id="18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t xml:space="preserve">Education increased 2.5%, with K–12 device purchases ahead of price increases offsetting slower higher-education decision-making. Q2 is seasonally important for education, making the composition of growth particularly relevant.</w:t>
      </w:r>
    </w:p>
    <w:p>
      <w:pPr>
        <w:pStyle w:val="BodyText"/>
      </w:pPr>
      <w:r>
        <w:t xml:space="preserve">Questions include:</w:t>
      </w:r>
    </w:p>
    <w:p>
      <w:pPr>
        <w:pStyle w:val="Compact"/>
        <w:numPr>
          <w:ilvl w:val="0"/>
          <w:numId w:val="1008"/>
        </w:numPr>
      </w:pPr>
      <w:r>
        <w:t xml:space="preserve">Did K–12 purchasing remain strong after the earlier pull-forward?</w:t>
      </w:r>
    </w:p>
    <w:p>
      <w:pPr>
        <w:pStyle w:val="Compact"/>
        <w:numPr>
          <w:ilvl w:val="0"/>
          <w:numId w:val="1008"/>
        </w:numPr>
      </w:pPr>
      <w:r>
        <w:t xml:space="preserve">Are higher-education customers releasing delayed projects?</w:t>
      </w:r>
    </w:p>
    <w:p>
      <w:pPr>
        <w:pStyle w:val="Compact"/>
        <w:numPr>
          <w:ilvl w:val="0"/>
          <w:numId w:val="1008"/>
        </w:numPr>
      </w:pPr>
      <w:r>
        <w:t xml:space="preserve">Did product availability constrain summer device deployments?</w:t>
      </w:r>
    </w:p>
    <w:p>
      <w:pPr>
        <w:pStyle w:val="Compact"/>
        <w:numPr>
          <w:ilvl w:val="0"/>
          <w:numId w:val="1008"/>
        </w:numPr>
      </w:pPr>
      <w:r>
        <w:t xml:space="preserve">How much education demand was moved into Q1?</w:t>
      </w:r>
    </w:p>
    <w:bookmarkEnd w:id="18"/>
    <w:bookmarkStart w:id="19" w:name="international"/>
    <w:p>
      <w:pPr>
        <w:pStyle w:val="Heading3"/>
      </w:pPr>
      <w:r>
        <w:t xml:space="preserve">International</w:t>
      </w:r>
    </w:p>
    <w:p>
      <w:pPr>
        <w:pStyle w:val="FirstParagraph"/>
      </w:pPr>
      <w:r>
        <w:t xml:space="preserve">The combined U.K. and Canadian business grew 17.9% in reported dollars during Q1. Constant-currency growth and the relative contributions from Canada and the U.K. will help determine how repeatable that performance is.</w:t>
      </w:r>
    </w:p>
    <w:bookmarkEnd w:id="19"/>
    <w:bookmarkEnd w:id="20"/>
    <w:bookmarkStart w:id="21" w:name="X55bd559139a181d8bec39193ab8cc2baecc5e26"/>
    <w:p>
      <w:pPr>
        <w:pStyle w:val="Heading2"/>
      </w:pPr>
      <w:r>
        <w:t xml:space="preserve">6. “Geared for Growth” must begin producing leverage</w:t>
      </w:r>
    </w:p>
    <w:p>
      <w:pPr>
        <w:pStyle w:val="FirstParagraph"/>
      </w:pPr>
      <w:r>
        <w:t xml:space="preserve">CDW is investing in an AI-enabled operating modernization program called</w:t>
      </w:r>
      <w:r>
        <w:t xml:space="preserve"> </w:t>
      </w:r>
      <w:r>
        <w:rPr>
          <w:b/>
          <w:bCs/>
        </w:rPr>
        <w:t xml:space="preserve">Geared for Growth</w:t>
      </w:r>
      <w:r>
        <w:t xml:space="preserve">. Management expects benefits to begin in the second half of 2026, with gross annual run-rate savings of approximately: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$100 million in 2027</w:t>
      </w:r>
      <w:r>
        <w:t xml:space="preserve">; and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$200 million in 2028</w:t>
      </w:r>
      <w:r>
        <w:t xml:space="preserve">.</w:t>
      </w:r>
    </w:p>
    <w:p>
      <w:pPr>
        <w:pStyle w:val="FirstParagraph"/>
      </w:pPr>
      <w:r>
        <w:t xml:space="preserve">Management indicated that up to roughly half of those savings could be reinvested, although the reinvestment is expected to generate returns.</w:t>
      </w:r>
    </w:p>
    <w:p>
      <w:pPr>
        <w:pStyle w:val="BodyText"/>
      </w:pPr>
      <w:r>
        <w:t xml:space="preserve">Q2 is less about realizing the full savings and more about credibility. Investors should look for:</w:t>
      </w:r>
    </w:p>
    <w:p>
      <w:pPr>
        <w:pStyle w:val="Compact"/>
        <w:numPr>
          <w:ilvl w:val="0"/>
          <w:numId w:val="1010"/>
        </w:numPr>
      </w:pPr>
      <w:r>
        <w:t xml:space="preserve">Specific second-half savings commitments;</w:t>
      </w:r>
    </w:p>
    <w:p>
      <w:pPr>
        <w:pStyle w:val="Compact"/>
        <w:numPr>
          <w:ilvl w:val="0"/>
          <w:numId w:val="1010"/>
        </w:numPr>
      </w:pPr>
      <w:r>
        <w:t xml:space="preserve">Evidence that implementation costs have peaked;</w:t>
      </w:r>
    </w:p>
    <w:p>
      <w:pPr>
        <w:pStyle w:val="Compact"/>
        <w:numPr>
          <w:ilvl w:val="0"/>
          <w:numId w:val="1010"/>
        </w:numPr>
      </w:pPr>
      <w:r>
        <w:t xml:space="preserve">Lower coworker counts without customer disruption;</w:t>
      </w:r>
    </w:p>
    <w:p>
      <w:pPr>
        <w:pStyle w:val="Compact"/>
        <w:numPr>
          <w:ilvl w:val="0"/>
          <w:numId w:val="1010"/>
        </w:numPr>
      </w:pPr>
      <w:r>
        <w:t xml:space="preserve">Productivity gains in sales and quote-to-cash processes; and</w:t>
      </w:r>
    </w:p>
    <w:p>
      <w:pPr>
        <w:pStyle w:val="Compact"/>
        <w:numPr>
          <w:ilvl w:val="0"/>
          <w:numId w:val="1010"/>
        </w:numPr>
      </w:pPr>
      <w:r>
        <w:t xml:space="preserve">A clearer bridge from gross-profit growth to operating-income growth.</w:t>
      </w:r>
    </w:p>
    <w:p>
      <w:pPr>
        <w:pStyle w:val="FirstParagraph"/>
      </w:pPr>
      <w:r>
        <w:t xml:space="preserve">A strong revenue quarter accompanied by another sharp increase in SG&amp;A would weaken confidence in the program.</w:t>
      </w:r>
    </w:p>
    <w:bookmarkEnd w:id="21"/>
    <w:bookmarkStart w:id="22" w:name="Xc4b3b7f6611304d9bbb19ec023d564af7cd74e6"/>
    <w:p>
      <w:pPr>
        <w:pStyle w:val="Heading2"/>
      </w:pPr>
      <w:r>
        <w:t xml:space="preserve">7. Working capital and cash conversion deserve attention</w:t>
      </w:r>
    </w:p>
    <w:p>
      <w:pPr>
        <w:pStyle w:val="FirstParagraph"/>
      </w:pPr>
      <w:r>
        <w:t xml:space="preserve">CDW increased inventory materially in Q1 to secure product and fulfill backlog:</w:t>
      </w:r>
    </w:p>
    <w:p>
      <w:pPr>
        <w:pStyle w:val="Compact"/>
        <w:numPr>
          <w:ilvl w:val="0"/>
          <w:numId w:val="1011"/>
        </w:numPr>
      </w:pPr>
      <w:r>
        <w:t xml:space="preserve">Inventory rose to</w:t>
      </w:r>
      <w:r>
        <w:t xml:space="preserve"> </w:t>
      </w:r>
      <w:r>
        <w:rPr>
          <w:b/>
          <w:bCs/>
        </w:rPr>
        <w:t xml:space="preserve">$821 million</w:t>
      </w:r>
      <w:r>
        <w:t xml:space="preserve"> </w:t>
      </w:r>
      <w:r>
        <w:t xml:space="preserve">from $563 million at year-end;</w:t>
      </w:r>
    </w:p>
    <w:p>
      <w:pPr>
        <w:pStyle w:val="Compact"/>
        <w:numPr>
          <w:ilvl w:val="0"/>
          <w:numId w:val="1011"/>
        </w:numPr>
      </w:pPr>
      <w:r>
        <w:t xml:space="preserve">Accounts receivable reached</w:t>
      </w:r>
      <w:r>
        <w:t xml:space="preserve"> </w:t>
      </w:r>
      <w:r>
        <w:rPr>
          <w:b/>
          <w:bCs/>
        </w:rPr>
        <w:t xml:space="preserve">$6.47 billion</w:t>
      </w:r>
      <w:r>
        <w:t xml:space="preserve">;</w:t>
      </w:r>
    </w:p>
    <w:p>
      <w:pPr>
        <w:pStyle w:val="Compact"/>
        <w:numPr>
          <w:ilvl w:val="0"/>
          <w:numId w:val="1011"/>
        </w:numPr>
      </w:pPr>
      <w:r>
        <w:t xml:space="preserve">The cash conversion cycle remained controlled at 16 days; and</w:t>
      </w:r>
    </w:p>
    <w:p>
      <w:pPr>
        <w:pStyle w:val="Compact"/>
        <w:numPr>
          <w:ilvl w:val="0"/>
          <w:numId w:val="1011"/>
        </w:numPr>
      </w:pPr>
      <w:r>
        <w:t xml:space="preserve">Adjusted free cash flow was $251 million, equal to 85% of non-GAAP net income.</w:t>
      </w:r>
    </w:p>
    <w:p>
      <w:pPr>
        <w:pStyle w:val="FirstParagraph"/>
      </w:pPr>
      <w:r>
        <w:t xml:space="preserve">Q2 should show whether that inventory was converted into revenue and cash on favorable terms. Persistent inventory growth after backlog conversion would be a warning sign, especially if demand is normalizing.</w:t>
      </w:r>
    </w:p>
    <w:p>
      <w:pPr>
        <w:pStyle w:val="BodyText"/>
      </w:pPr>
      <w:r>
        <w:t xml:space="preserve">Relevant indicators include:</w:t>
      </w:r>
    </w:p>
    <w:p>
      <w:pPr>
        <w:pStyle w:val="Compact"/>
        <w:numPr>
          <w:ilvl w:val="0"/>
          <w:numId w:val="1012"/>
        </w:numPr>
      </w:pPr>
      <w:r>
        <w:t xml:space="preserve">Inventory and days of supply;</w:t>
      </w:r>
    </w:p>
    <w:p>
      <w:pPr>
        <w:pStyle w:val="Compact"/>
        <w:numPr>
          <w:ilvl w:val="0"/>
          <w:numId w:val="1012"/>
        </w:numPr>
      </w:pPr>
      <w:r>
        <w:t xml:space="preserve">Accounts-receivable growth relative to sales;</w:t>
      </w:r>
    </w:p>
    <w:p>
      <w:pPr>
        <w:pStyle w:val="Compact"/>
        <w:numPr>
          <w:ilvl w:val="0"/>
          <w:numId w:val="1012"/>
        </w:numPr>
      </w:pPr>
      <w:r>
        <w:t xml:space="preserve">Cash conversion cycle;</w:t>
      </w:r>
    </w:p>
    <w:p>
      <w:pPr>
        <w:pStyle w:val="Compact"/>
        <w:numPr>
          <w:ilvl w:val="0"/>
          <w:numId w:val="1012"/>
        </w:numPr>
      </w:pPr>
      <w:r>
        <w:t xml:space="preserve">Adjusted free-cash-flow conversion; and</w:t>
      </w:r>
    </w:p>
    <w:p>
      <w:pPr>
        <w:pStyle w:val="Compact"/>
        <w:numPr>
          <w:ilvl w:val="0"/>
          <w:numId w:val="1012"/>
        </w:numPr>
      </w:pPr>
      <w:r>
        <w:t xml:space="preserve">Commentary on cancellations, returns, and price protection.</w:t>
      </w:r>
    </w:p>
    <w:bookmarkEnd w:id="22"/>
    <w:bookmarkStart w:id="23" w:name="X73fa3d646eafff23c82eb41c65a570a60dd5ce5"/>
    <w:p>
      <w:pPr>
        <w:pStyle w:val="Heading2"/>
      </w:pPr>
      <w:r>
        <w:t xml:space="preserve">Capital allocation provides some downside support</w:t>
      </w:r>
    </w:p>
    <w:p>
      <w:pPr>
        <w:pStyle w:val="FirstParagraph"/>
      </w:pPr>
      <w:r>
        <w:t xml:space="preserve">CDW repurchased $201 million of stock and paid</w:t>
      </w:r>
      <w:r>
        <w:t xml:space="preserve"> </w:t>
      </w:r>
      <m:oMath>
        <m:r>
          <m:t>81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t>s</m:t>
        </m:r>
        <m:r>
          <m:t>d</m:t>
        </m:r>
        <m:r>
          <m:t>u</m:t>
        </m:r>
        <m:r>
          <m:t>r</m:t>
        </m:r>
        <m:r>
          <m:t>i</m:t>
        </m:r>
        <m:r>
          <m:t>n</m:t>
        </m:r>
        <m:r>
          <m:t>g</m:t>
        </m:r>
        <m:r>
          <m:t>Q</m:t>
        </m:r>
        <m:r>
          <m:t>1</m:t>
        </m:r>
        <m:r>
          <m:rPr>
            <m:sty m:val="p"/>
          </m:rPr>
          <m:t>.</m:t>
        </m:r>
        <m:r>
          <m:t>O</m:t>
        </m:r>
        <m:r>
          <m:t>n</m:t>
        </m:r>
        <m:r>
          <m:t>M</m:t>
        </m:r>
        <m:r>
          <m:t>a</m:t>
        </m:r>
        <m:r>
          <m:t>y</m:t>
        </m:r>
        <m:r>
          <m:t>13</m:t>
        </m:r>
        <m:r>
          <m:rPr>
            <m:sty m:val="p"/>
          </m:rPr>
          <m:t>,</m:t>
        </m:r>
        <m:r>
          <m:t>t</m:t>
        </m:r>
        <m:r>
          <m:t>h</m:t>
        </m:r>
        <m:r>
          <m:t>e</m:t>
        </m:r>
        <m:r>
          <m:t>b</m:t>
        </m:r>
        <m:r>
          <m:t>o</m:t>
        </m:r>
        <m:r>
          <m:t>a</m:t>
        </m:r>
        <m:r>
          <m:t>r</m:t>
        </m:r>
        <m:r>
          <m:t>d</m:t>
        </m:r>
        <m:r>
          <m:t>a</m:t>
        </m:r>
        <m:r>
          <m:t>d</m:t>
        </m:r>
        <m:r>
          <m:t>d</m:t>
        </m:r>
        <m:r>
          <m:t>e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 billion** to the repurchase authorization, on top of approximately $484 million that remained available as of March 31.</w:t>
      </w:r>
    </w:p>
    <w:p>
      <w:pPr>
        <w:pStyle w:val="BodyText"/>
      </w:pPr>
      <w:r>
        <w:t xml:space="preserve">The stock’s volatility makes repurchase activity particularly relevant. CDW fell from a $136.80 close on May 5 to</w:t>
      </w:r>
      <w:r>
        <w:t xml:space="preserve"> </w:t>
      </w:r>
      <m:oMath>
        <m:r>
          <m:t>109.00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t>t</m:t>
        </m:r>
        <m:r>
          <m:t>h</m:t>
        </m:r>
        <m:r>
          <m:t>e</m:t>
        </m:r>
        <m:r>
          <m:t>Q</m:t>
        </m:r>
        <m:r>
          <m:t>1</m:t>
        </m:r>
        <m:r>
          <m:t>r</m:t>
        </m:r>
        <m:r>
          <m:t>e</m:t>
        </m:r>
        <m:r>
          <m:t>p</m:t>
        </m:r>
        <m:r>
          <m:t>o</m:t>
        </m:r>
        <m:r>
          <m:t>r</m:t>
        </m:r>
        <m:r>
          <m:t>t</m:t>
        </m:r>
        <m:r>
          <m:t>o</m:t>
        </m:r>
        <m:r>
          <m:t>n</m:t>
        </m:r>
        <m:r>
          <m:t>M</m:t>
        </m:r>
        <m:r>
          <m:t>a</m:t>
        </m:r>
        <m:r>
          <m:t>y</m:t>
        </m:r>
        <m:r>
          <m:t>6</m:t>
        </m:r>
        <m:r>
          <m:rPr>
            <m:sty m:val="p"/>
          </m:rPr>
          <m:t>,</m:t>
        </m:r>
        <m:r>
          <m:t>b</m:t>
        </m:r>
        <m:r>
          <m:t>u</m:t>
        </m:r>
        <m:r>
          <m:t>t</m:t>
        </m:r>
        <m:r>
          <m:t>s</m:t>
        </m:r>
        <m:r>
          <m:t>u</m:t>
        </m:r>
        <m:r>
          <m:t>b</m:t>
        </m:r>
        <m:r>
          <m:t>s</m:t>
        </m:r>
        <m:r>
          <m:t>e</m:t>
        </m:r>
        <m:r>
          <m:t>q</m:t>
        </m:r>
        <m:r>
          <m:t>u</m:t>
        </m:r>
        <m:r>
          <m:t>e</m:t>
        </m:r>
        <m:r>
          <m:t>n</m:t>
        </m:r>
        <m:r>
          <m:t>t</m:t>
        </m:r>
        <m:r>
          <m:t>l</m:t>
        </m:r>
        <m:r>
          <m:t>y</m:t>
        </m:r>
        <m:r>
          <m:t>r</m:t>
        </m:r>
        <m:r>
          <m:t>e</m:t>
        </m:r>
        <m:r>
          <m:t>c</m:t>
        </m:r>
        <m:r>
          <m:t>o</m:t>
        </m:r>
        <m:r>
          <m:t>v</m:t>
        </m:r>
        <m:r>
          <m:t>e</m:t>
        </m:r>
        <m:r>
          <m:t>r</m:t>
        </m:r>
        <m:r>
          <m:t>e</m:t>
        </m:r>
        <m:r>
          <m:t>d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154.03 on August 4**. The recovery suggests the market is entering Q2 with substantially higher expectations than immediately after Q1.</w:t>
      </w:r>
    </w:p>
    <w:p>
      <w:pPr>
        <w:pStyle w:val="BodyText"/>
      </w:pPr>
      <w:r>
        <w:t xml:space="preserve">Investors should not assume the authorization will be used immediately, but meaningful repurchases during the post-Q1 weakness could provide an EPS tailwind and signal management’s confidence in intrinsic value.</w:t>
      </w:r>
    </w:p>
    <w:bookmarkEnd w:id="23"/>
    <w:bookmarkStart w:id="24" w:name="X162f2110e1e64f0f8d12f8b825c16021ead0823"/>
    <w:p>
      <w:pPr>
        <w:pStyle w:val="Heading2"/>
      </w:pPr>
      <w:r>
        <w:t xml:space="preserve">Full-year guidance: the likely determinant of the stock reaction</w:t>
      </w:r>
    </w:p>
    <w:p>
      <w:pPr>
        <w:pStyle w:val="FirstParagraph"/>
      </w:pPr>
      <w:r>
        <w:t xml:space="preserve">CDW’s existing 2026 framework calls for:</w:t>
      </w:r>
    </w:p>
    <w:p>
      <w:pPr>
        <w:pStyle w:val="Compact"/>
        <w:numPr>
          <w:ilvl w:val="0"/>
          <w:numId w:val="1013"/>
        </w:numPr>
      </w:pPr>
      <w:r>
        <w:t xml:space="preserve">Low-single-digit growth in the U.S. addressable IT market;</w:t>
      </w:r>
    </w:p>
    <w:p>
      <w:pPr>
        <w:pStyle w:val="Compact"/>
        <w:numPr>
          <w:ilvl w:val="0"/>
          <w:numId w:val="1013"/>
        </w:numPr>
      </w:pPr>
      <w:r>
        <w:t xml:space="preserve">CDW outperformance of 200–300 basis points on a customer-spend basis;</w:t>
      </w:r>
    </w:p>
    <w:p>
      <w:pPr>
        <w:pStyle w:val="Compact"/>
        <w:numPr>
          <w:ilvl w:val="0"/>
          <w:numId w:val="1013"/>
        </w:numPr>
      </w:pPr>
      <w:r>
        <w:t xml:space="preserve">Low- to mid-single-digit gross-profit growth;</w:t>
      </w:r>
    </w:p>
    <w:p>
      <w:pPr>
        <w:pStyle w:val="Compact"/>
        <w:numPr>
          <w:ilvl w:val="0"/>
          <w:numId w:val="1013"/>
        </w:numPr>
      </w:pPr>
      <w:r>
        <w:t xml:space="preserve">Gross margin approximately in line with 2025;</w:t>
      </w:r>
    </w:p>
    <w:p>
      <w:pPr>
        <w:pStyle w:val="Compact"/>
        <w:numPr>
          <w:ilvl w:val="0"/>
          <w:numId w:val="1013"/>
        </w:numPr>
      </w:pPr>
      <w:r>
        <w:t xml:space="preserve">Second-half gross profit slightly above first-half gross profit; and</w:t>
      </w:r>
    </w:p>
    <w:p>
      <w:pPr>
        <w:pStyle w:val="Compact"/>
        <w:numPr>
          <w:ilvl w:val="0"/>
          <w:numId w:val="1013"/>
        </w:numPr>
      </w:pPr>
      <w:r>
        <w:t xml:space="preserve">Non-GAAP EPS growth at the high end of mid-single digits.</w:t>
      </w:r>
    </w:p>
    <w:p>
      <w:pPr>
        <w:pStyle w:val="FirstParagraph"/>
      </w:pPr>
      <w:r>
        <w:t xml:space="preserve">The Q1 outlook increase was primarily driven by greater confidence in Q2, not a more optimistic second-half view. Consequently, merely maintaining guidance after a strong Q2 could be interpreted as caution around demand normalization.</w:t>
      </w:r>
    </w:p>
    <w:p>
      <w:pPr>
        <w:pStyle w:val="BodyText"/>
      </w:pPr>
      <w:r>
        <w:t xml:space="preserve">A favorable outlook update would include some combination of:</w:t>
      </w:r>
    </w:p>
    <w:p>
      <w:pPr>
        <w:pStyle w:val="Compact"/>
        <w:numPr>
          <w:ilvl w:val="0"/>
          <w:numId w:val="1014"/>
        </w:numPr>
      </w:pPr>
      <w:r>
        <w:t xml:space="preserve">Higher full-year gross-profit growth;</w:t>
      </w:r>
    </w:p>
    <w:p>
      <w:pPr>
        <w:pStyle w:val="Compact"/>
        <w:numPr>
          <w:ilvl w:val="0"/>
          <w:numId w:val="1014"/>
        </w:numPr>
      </w:pPr>
      <w:r>
        <w:t xml:space="preserve">EPS growth moving beyond the high end of mid-single digits;</w:t>
      </w:r>
    </w:p>
    <w:p>
      <w:pPr>
        <w:pStyle w:val="Compact"/>
        <w:numPr>
          <w:ilvl w:val="0"/>
          <w:numId w:val="1014"/>
        </w:numPr>
      </w:pPr>
      <w:r>
        <w:t xml:space="preserve">Better second-half services and netted-down revenue visibility;</w:t>
      </w:r>
    </w:p>
    <w:p>
      <w:pPr>
        <w:pStyle w:val="Compact"/>
        <w:numPr>
          <w:ilvl w:val="0"/>
          <w:numId w:val="1014"/>
        </w:numPr>
      </w:pPr>
      <w:r>
        <w:t xml:space="preserve">Earlier or larger Geared for Growth benefits; and</w:t>
      </w:r>
    </w:p>
    <w:p>
      <w:pPr>
        <w:pStyle w:val="Compact"/>
        <w:numPr>
          <w:ilvl w:val="0"/>
          <w:numId w:val="1014"/>
        </w:numPr>
      </w:pPr>
      <w:r>
        <w:t xml:space="preserve">Continued order momentum after the backlog clears.</w:t>
      </w:r>
    </w:p>
    <w:bookmarkEnd w:id="24"/>
    <w:bookmarkStart w:id="28" w:name="scenario-framework"/>
    <w:p>
      <w:pPr>
        <w:pStyle w:val="Heading2"/>
      </w:pPr>
      <w:r>
        <w:t xml:space="preserve">Scenario framework</w:t>
      </w:r>
    </w:p>
    <w:bookmarkStart w:id="25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5"/>
        </w:numPr>
      </w:pPr>
      <w:r>
        <w:t xml:space="preserve">Gross profit grows at least 6% year over year;</w:t>
      </w:r>
    </w:p>
    <w:p>
      <w:pPr>
        <w:pStyle w:val="Compact"/>
        <w:numPr>
          <w:ilvl w:val="0"/>
          <w:numId w:val="1015"/>
        </w:numPr>
      </w:pPr>
      <w:r>
        <w:t xml:space="preserve">Non-GAAP EPS grows double digits;</w:t>
      </w:r>
    </w:p>
    <w:p>
      <w:pPr>
        <w:pStyle w:val="Compact"/>
        <w:numPr>
          <w:ilvl w:val="0"/>
          <w:numId w:val="1015"/>
        </w:numPr>
      </w:pPr>
      <w:r>
        <w:t xml:space="preserve">Infrastructure demand remains strong without further margin erosion;</w:t>
      </w:r>
    </w:p>
    <w:p>
      <w:pPr>
        <w:pStyle w:val="Compact"/>
        <w:numPr>
          <w:ilvl w:val="0"/>
          <w:numId w:val="1015"/>
        </w:numPr>
      </w:pPr>
      <w:r>
        <w:t xml:space="preserve">Services and netted-down revenue begin improving;</w:t>
      </w:r>
    </w:p>
    <w:p>
      <w:pPr>
        <w:pStyle w:val="Compact"/>
        <w:numPr>
          <w:ilvl w:val="0"/>
          <w:numId w:val="1015"/>
        </w:numPr>
      </w:pPr>
      <w:r>
        <w:t xml:space="preserve">Backlog conversion is accompanied by continued new-order growth; and</w:t>
      </w:r>
    </w:p>
    <w:p>
      <w:pPr>
        <w:pStyle w:val="Compact"/>
        <w:numPr>
          <w:ilvl w:val="0"/>
          <w:numId w:val="1015"/>
        </w:numPr>
      </w:pPr>
      <w:r>
        <w:t xml:space="preserve">Full-year gross-profit or EPS guidance is raised.</w:t>
      </w:r>
    </w:p>
    <w:p>
      <w:pPr>
        <w:pStyle w:val="FirstParagraph"/>
      </w:pPr>
      <w:r>
        <w:t xml:space="preserve">This would support the argument that CDW can combine AI-related hardware growth with improving operating leverage.</w:t>
      </w:r>
    </w:p>
    <w:bookmarkEnd w:id="25"/>
    <w:bookmarkStart w:id="26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6"/>
        </w:numPr>
      </w:pPr>
      <w:r>
        <w:t xml:space="preserve">Gross profit and EPS roughly match management’s mid- and high-single-digit growth targets;</w:t>
      </w:r>
    </w:p>
    <w:p>
      <w:pPr>
        <w:pStyle w:val="Compact"/>
        <w:numPr>
          <w:ilvl w:val="0"/>
          <w:numId w:val="1016"/>
        </w:numPr>
      </w:pPr>
      <w:r>
        <w:t xml:space="preserve">Revenue remains strong but hardware-heavy;</w:t>
      </w:r>
    </w:p>
    <w:p>
      <w:pPr>
        <w:pStyle w:val="Compact"/>
        <w:numPr>
          <w:ilvl w:val="0"/>
          <w:numId w:val="1016"/>
        </w:numPr>
      </w:pPr>
      <w:r>
        <w:t xml:space="preserve">Margins stabilize sequentially;</w:t>
      </w:r>
    </w:p>
    <w:p>
      <w:pPr>
        <w:pStyle w:val="Compact"/>
        <w:numPr>
          <w:ilvl w:val="0"/>
          <w:numId w:val="1016"/>
        </w:numPr>
      </w:pPr>
      <w:r>
        <w:t xml:space="preserve">Full-year guidance is maintained; and</w:t>
      </w:r>
    </w:p>
    <w:p>
      <w:pPr>
        <w:pStyle w:val="Compact"/>
        <w:numPr>
          <w:ilvl w:val="0"/>
          <w:numId w:val="1016"/>
        </w:numPr>
      </w:pPr>
      <w:r>
        <w:t xml:space="preserve">Management remains constructive but cautious about the second half.</w:t>
      </w:r>
    </w:p>
    <w:p>
      <w:pPr>
        <w:pStyle w:val="FirstParagraph"/>
      </w:pPr>
      <w:r>
        <w:t xml:space="preserve">The stock reaction would likely depend on qualitative order commentary and whether investors perceive guidance as conservative or as evidence of a second-half slowdown.</w:t>
      </w:r>
    </w:p>
    <w:bookmarkEnd w:id="26"/>
    <w:bookmarkStart w:id="27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7"/>
        </w:numPr>
      </w:pPr>
      <w:r>
        <w:t xml:space="preserve">Revenue is strong, but gross-profit growth falls below mid-single digits;</w:t>
      </w:r>
    </w:p>
    <w:p>
      <w:pPr>
        <w:pStyle w:val="Compact"/>
        <w:numPr>
          <w:ilvl w:val="0"/>
          <w:numId w:val="1017"/>
        </w:numPr>
      </w:pPr>
      <w:r>
        <w:t xml:space="preserve">Gross or operating margin deteriorates further;</w:t>
      </w:r>
    </w:p>
    <w:p>
      <w:pPr>
        <w:pStyle w:val="Compact"/>
        <w:numPr>
          <w:ilvl w:val="0"/>
          <w:numId w:val="1017"/>
        </w:numPr>
      </w:pPr>
      <w:r>
        <w:t xml:space="preserve">Q2 demand is attributed mainly to backlog and pull-forward;</w:t>
      </w:r>
    </w:p>
    <w:p>
      <w:pPr>
        <w:pStyle w:val="Compact"/>
        <w:numPr>
          <w:ilvl w:val="0"/>
          <w:numId w:val="1017"/>
        </w:numPr>
      </w:pPr>
      <w:r>
        <w:t xml:space="preserve">Services remain weak;</w:t>
      </w:r>
    </w:p>
    <w:p>
      <w:pPr>
        <w:pStyle w:val="Compact"/>
        <w:numPr>
          <w:ilvl w:val="0"/>
          <w:numId w:val="1017"/>
        </w:numPr>
      </w:pPr>
      <w:r>
        <w:t xml:space="preserve">Federal, higher education, or K–12 spending disappoints;</w:t>
      </w:r>
    </w:p>
    <w:p>
      <w:pPr>
        <w:pStyle w:val="Compact"/>
        <w:numPr>
          <w:ilvl w:val="0"/>
          <w:numId w:val="1017"/>
        </w:numPr>
      </w:pPr>
      <w:r>
        <w:t xml:space="preserve">Inventory and receivables remain elevated; or</w:t>
      </w:r>
    </w:p>
    <w:p>
      <w:pPr>
        <w:pStyle w:val="Compact"/>
        <w:numPr>
          <w:ilvl w:val="0"/>
          <w:numId w:val="1017"/>
        </w:numPr>
      </w:pPr>
      <w:r>
        <w:t xml:space="preserve">Full-year guidance is reduced or management explicitly forecasts a sharper hardware slowdown.</w:t>
      </w:r>
    </w:p>
    <w:bookmarkEnd w:id="27"/>
    <w:bookmarkEnd w:id="28"/>
    <w:bookmarkStart w:id="29" w:name="questions-management-should-answer"/>
    <w:p>
      <w:pPr>
        <w:pStyle w:val="Heading2"/>
      </w:pPr>
      <w:r>
        <w:t xml:space="preserve">Questions management should answer</w:t>
      </w:r>
    </w:p>
    <w:p>
      <w:pPr>
        <w:pStyle w:val="Compact"/>
        <w:numPr>
          <w:ilvl w:val="0"/>
          <w:numId w:val="1018"/>
        </w:numPr>
      </w:pPr>
      <w:r>
        <w:t xml:space="preserve">How much of Q2 growth came from backlog conversion versus new orders?</w:t>
      </w:r>
    </w:p>
    <w:p>
      <w:pPr>
        <w:pStyle w:val="Compact"/>
        <w:numPr>
          <w:ilvl w:val="0"/>
          <w:numId w:val="1018"/>
        </w:numPr>
      </w:pPr>
      <w:r>
        <w:t xml:space="preserve">Did written demand remain elevated through July?</w:t>
      </w:r>
    </w:p>
    <w:p>
      <w:pPr>
        <w:pStyle w:val="Compact"/>
        <w:numPr>
          <w:ilvl w:val="0"/>
          <w:numId w:val="1018"/>
        </w:numPr>
      </w:pPr>
      <w:r>
        <w:t xml:space="preserve">How have memory and other component price increases affected unit demand and product margin?</w:t>
      </w:r>
    </w:p>
    <w:p>
      <w:pPr>
        <w:pStyle w:val="Compact"/>
        <w:numPr>
          <w:ilvl w:val="0"/>
          <w:numId w:val="1018"/>
        </w:numPr>
      </w:pPr>
      <w:r>
        <w:t xml:space="preserve">Is the client-device refresh cycle accelerating or merely being pulled forward?</w:t>
      </w:r>
    </w:p>
    <w:p>
      <w:pPr>
        <w:pStyle w:val="Compact"/>
        <w:numPr>
          <w:ilvl w:val="0"/>
          <w:numId w:val="1018"/>
        </w:numPr>
      </w:pPr>
      <w:r>
        <w:t xml:space="preserve">Has the netted-down gross-profit contribution stabilized?</w:t>
      </w:r>
    </w:p>
    <w:p>
      <w:pPr>
        <w:pStyle w:val="Compact"/>
        <w:numPr>
          <w:ilvl w:val="0"/>
          <w:numId w:val="1018"/>
        </w:numPr>
      </w:pPr>
      <w:r>
        <w:t xml:space="preserve">Are service attachment rates rising on AI infrastructure projects?</w:t>
      </w:r>
    </w:p>
    <w:p>
      <w:pPr>
        <w:pStyle w:val="Compact"/>
        <w:numPr>
          <w:ilvl w:val="0"/>
          <w:numId w:val="1018"/>
        </w:numPr>
      </w:pPr>
      <w:r>
        <w:t xml:space="preserve">What is the current outlook for federal procurement and higher-education spending?</w:t>
      </w:r>
    </w:p>
    <w:p>
      <w:pPr>
        <w:pStyle w:val="Compact"/>
        <w:numPr>
          <w:ilvl w:val="0"/>
          <w:numId w:val="1018"/>
        </w:numPr>
      </w:pPr>
      <w:r>
        <w:t xml:space="preserve">How much Geared for Growth savings will be realized in the second half of 2026?</w:t>
      </w:r>
    </w:p>
    <w:p>
      <w:pPr>
        <w:pStyle w:val="Compact"/>
        <w:numPr>
          <w:ilvl w:val="0"/>
          <w:numId w:val="1018"/>
        </w:numPr>
      </w:pPr>
      <w:r>
        <w:t xml:space="preserve">How much stock was repurchased following the post-Q1 share-price decline?</w:t>
      </w:r>
    </w:p>
    <w:p>
      <w:pPr>
        <w:pStyle w:val="Compact"/>
        <w:numPr>
          <w:ilvl w:val="0"/>
          <w:numId w:val="1018"/>
        </w:numPr>
      </w:pPr>
      <w:r>
        <w:t xml:space="preserve">What would cause second-half gross profit to fall short of the first-half level?</w:t>
      </w:r>
    </w:p>
    <w:bookmarkEnd w:id="29"/>
    <w:bookmarkStart w:id="3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CDW should report a strong Q2 on the back of backlog, infrastructure investment, client-device shipments, and customers purchasing ahead of supply and pricing concerns. The higher-value issue is whether the company can turn that activity into</w:t>
      </w:r>
      <w:r>
        <w:t xml:space="preserve"> </w:t>
      </w:r>
      <w:r>
        <w:rPr>
          <w:b/>
          <w:bCs/>
        </w:rPr>
        <w:t xml:space="preserve">gross-profit growth, margin stability, and operating leverage</w:t>
      </w:r>
      <w:r>
        <w:t xml:space="preserve">.</w:t>
      </w:r>
    </w:p>
    <w:p>
      <w:pPr>
        <w:pStyle w:val="BodyText"/>
      </w:pPr>
      <w:r>
        <w:t xml:space="preserve">The most important benchmarks are approximately</w:t>
      </w:r>
      <w:r>
        <w:t xml:space="preserve"> </w:t>
      </w:r>
      <m:oMath>
        <m:r>
          <m:t>1.30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g</m:t>
        </m:r>
        <m:r>
          <m:t>r</m:t>
        </m:r>
        <m:r>
          <m:t>o</m:t>
        </m:r>
        <m:r>
          <m:t>s</m:t>
        </m:r>
        <m:r>
          <m:t>s</m:t>
        </m:r>
        <m:r>
          <m:t>p</m:t>
        </m:r>
        <m:r>
          <m:t>r</m:t>
        </m:r>
        <m:r>
          <m:t>o</m:t>
        </m:r>
        <m:r>
          <m:t>f</m:t>
        </m:r>
        <m:r>
          <m:t>i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a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2.80 in non-GAAP EPS</w:t>
      </w:r>
      <w:r>
        <w:t xml:space="preserve">, followed by the full-year outlook. Given the stock’s recovery to $154.03 before the report, a simple revenue beat may not be sufficient. Investors will likely require evidence that demand remains durable beyond the first-half purchasing surge and that CDW’s higher-margin services and efficiency initiatives can support stronger earnings growth.</w:t>
      </w:r>
    </w:p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2026-08-05T00:18:47Z</dcterms:created>
  <dcterms:modified xsi:type="dcterms:W3CDTF">2026-08-05T00:18:47Z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