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cdw-nasdaq-cdw--2q26-earnings-preview"/>
    <w:p>
      <w:pPr>
        <w:pStyle w:val="Heading1"/>
      </w:pPr>
      <w:r>
        <w:t xml:space="preserve">CDW (NASDAQ: CDW) — 2Q26 Earnings Preview</w:t>
      </w:r>
    </w:p>
    <w:p>
      <w:pPr>
        <w:pStyle w:val="BlockText"/>
      </w:pPr>
      <w:r>
        <w:rPr>
          <w:b/>
          <w:bCs/>
        </w:rPr>
        <w:t xml:space="preserve">Date clarification:</w:t>
      </w:r>
      <w:r>
        <w:t xml:space="preserve"> </w:t>
      </w:r>
      <w:r>
        <w:t xml:space="preserve">The event date provided is</w:t>
      </w:r>
      <w:r>
        <w:t xml:space="preserve"> </w:t>
      </w:r>
      <w:r>
        <w:rPr>
          <w:b/>
          <w:bCs/>
        </w:rPr>
        <w:t xml:space="preserve">Wednesday, August 5, 2026</w:t>
      </w:r>
      <w:r>
        <w:t xml:space="preserve">. As of that date, CDW’s 2Q26 earnings call is</w:t>
      </w:r>
      <w:r>
        <w:t xml:space="preserve"> </w:t>
      </w:r>
      <w:r>
        <w:rPr>
          <w:b/>
          <w:bCs/>
        </w:rPr>
        <w:t xml:space="preserve">today</w:t>
      </w:r>
      <w:r>
        <w:t xml:space="preserve">, rather than tomorrow.</w:t>
      </w:r>
    </w:p>
    <w:bookmarkStart w:id="9" w:name="X090d0777f4a430875563e0594c1da05430f7cdc"/>
    <w:p>
      <w:pPr>
        <w:pStyle w:val="Heading2"/>
      </w:pPr>
      <w:r>
        <w:t xml:space="preserve">Investment view: Q2 should be strong; the bigger debate is quality and durability of the demand</w:t>
      </w:r>
    </w:p>
    <w:p>
      <w:pPr>
        <w:pStyle w:val="FirstParagraph"/>
      </w:pPr>
      <w:r>
        <w:t xml:space="preserve">CDW enters 2Q26 with meaningful momentum following a stronger-than-expected 1Q, driven by AI-related infrastructure demand, customer urgency around memory pricing/supply, and elevated backlog. Management explicitly guided to</w:t>
      </w:r>
      <w:r>
        <w:t xml:space="preserve"> </w:t>
      </w:r>
      <w:r>
        <w:rPr>
          <w:b/>
          <w:bCs/>
        </w:rPr>
        <w:t xml:space="preserve">mid-single-digit year-over-year gross-profit growth</w:t>
      </w:r>
      <w:r>
        <w:t xml:space="preserve"> </w:t>
      </w:r>
      <w:r>
        <w:t xml:space="preserve">and</w:t>
      </w:r>
      <w:r>
        <w:t xml:space="preserve"> </w:t>
      </w:r>
      <w:r>
        <w:rPr>
          <w:b/>
          <w:bCs/>
        </w:rPr>
        <w:t xml:space="preserve">high-single-digit non-GAAP EPS growth</w:t>
      </w:r>
      <w:r>
        <w:t xml:space="preserve"> </w:t>
      </w:r>
      <w:r>
        <w:t xml:space="preserve">for Q2.</w:t>
      </w:r>
    </w:p>
    <w:p>
      <w:pPr>
        <w:pStyle w:val="BodyText"/>
      </w:pPr>
      <w:r>
        <w:t xml:space="preserve">The setup is constructive operationally, but the key investor question is no longer whether CDW can post a good Q2. It is whether the company can demonstrate that:</w:t>
      </w:r>
    </w:p>
    <w:p>
      <w:pPr>
        <w:pStyle w:val="Compact"/>
        <w:numPr>
          <w:ilvl w:val="0"/>
          <w:numId w:val="1001"/>
        </w:numPr>
      </w:pPr>
      <w:r>
        <w:t xml:space="preserve">AI infrastructure demand is becoming a recurring, services-attached growth driver rather than a hardware-led surge;</w:t>
      </w:r>
    </w:p>
    <w:p>
      <w:pPr>
        <w:pStyle w:val="Compact"/>
        <w:numPr>
          <w:ilvl w:val="0"/>
          <w:numId w:val="1001"/>
        </w:numPr>
      </w:pPr>
      <w:r>
        <w:t xml:space="preserve">backlog and order activity remain firm after customers have pulled purchases forward to avoid price increases or supply constraints; and</w:t>
      </w:r>
    </w:p>
    <w:p>
      <w:pPr>
        <w:pStyle w:val="Compact"/>
        <w:numPr>
          <w:ilvl w:val="0"/>
          <w:numId w:val="1001"/>
        </w:numPr>
      </w:pPr>
      <w:r>
        <w:t xml:space="preserve">gross-margin and SG&amp;A pressure can reverse as cloud, SaaS, software assurance, warranties, and services regain a larger share of mix.</w:t>
      </w:r>
    </w:p>
    <w:p>
      <w:pPr>
        <w:pStyle w:val="FirstParagraph"/>
      </w:pPr>
      <w:r>
        <w:t xml:space="preserve">A clean beat accompanied by evidence of durable demand into the second half could shift the narrative from “temporary hardware pull-forward” toward “AI-enabled reacceleration plus structural operating leverage.”</w:t>
      </w:r>
    </w:p>
    <w:bookmarkEnd w:id="9"/>
    <w:bookmarkStart w:id="10" w:name="what-management-guided-to-for-q2"/>
    <w:p>
      <w:pPr>
        <w:pStyle w:val="Heading2"/>
      </w:pPr>
      <w:r>
        <w:t xml:space="preserve">What management guided to for Q2</w:t>
      </w:r>
    </w:p>
    <w:p>
      <w:pPr>
        <w:pStyle w:val="FirstParagraph"/>
      </w:pPr>
      <w:r>
        <w:t xml:space="preserve">At the May 6 Q1 report, CDW’s Q2 framework was: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Management’s Q2 outlook</w:t>
            </w:r>
          </w:p>
        </w:tc>
      </w:tr>
      <w:tr>
        <w:tc>
          <w:tcPr/>
          <w:p>
            <w:pPr>
              <w:pStyle w:val="Compact"/>
            </w:pPr>
            <w:r>
              <w:t xml:space="preserve">Gross profit</w:t>
            </w:r>
          </w:p>
        </w:tc>
        <w:tc>
          <w:tcPr/>
          <w:p>
            <w:pPr>
              <w:pStyle w:val="Compact"/>
              <w:jc w:val="right"/>
            </w:pPr>
            <w:r>
              <w:rPr>
                <w:b/>
                <w:bCs/>
              </w:rPr>
              <w:t xml:space="preserve">Mid-single-digit growth YoY</w:t>
            </w:r>
          </w:p>
        </w:tc>
      </w:tr>
      <w:tr>
        <w:tc>
          <w:tcPr/>
          <w:p>
            <w:pPr>
              <w:pStyle w:val="Compact"/>
            </w:pPr>
            <w:r>
              <w:t xml:space="preserve">Non-GAAP EPS</w:t>
            </w:r>
          </w:p>
        </w:tc>
        <w:tc>
          <w:tcPr/>
          <w:p>
            <w:pPr>
              <w:pStyle w:val="Compact"/>
              <w:jc w:val="right"/>
            </w:pPr>
            <w:r>
              <w:rPr>
                <w:b/>
                <w:bCs/>
              </w:rPr>
              <w:t xml:space="preserve">High-single-digit growth YoY</w:t>
            </w:r>
          </w:p>
        </w:tc>
      </w:tr>
      <w:tr>
        <w:tc>
          <w:tcPr/>
          <w:p>
            <w:pPr>
              <w:pStyle w:val="Compact"/>
            </w:pPr>
            <w:r>
              <w:t xml:space="preserve">Non-GAAP SG&amp;A</w:t>
            </w:r>
          </w:p>
        </w:tc>
        <w:tc>
          <w:tcPr/>
          <w:p>
            <w:pPr>
              <w:pStyle w:val="Compact"/>
              <w:jc w:val="right"/>
            </w:pPr>
            <w:r>
              <w:t xml:space="preserve">Modestly higher sequentially</w:t>
            </w:r>
          </w:p>
        </w:tc>
      </w:tr>
      <w:tr>
        <w:tc>
          <w:tcPr/>
          <w:p>
            <w:pPr>
              <w:pStyle w:val="Compact"/>
            </w:pPr>
            <w:r>
              <w:t xml:space="preserve">SG&amp;A as % of gross profit</w:t>
            </w:r>
          </w:p>
        </w:tc>
        <w:tc>
          <w:tcPr/>
          <w:p>
            <w:pPr>
              <w:pStyle w:val="Compact"/>
              <w:jc w:val="right"/>
            </w:pPr>
            <w:r>
              <w:t xml:space="preserve">Lower than Q1 and similar to prior-year Q2</w:t>
            </w:r>
          </w:p>
        </w:tc>
      </w:tr>
    </w:tbl>
    <w:p>
      <w:pPr>
        <w:pStyle w:val="BodyText"/>
      </w:pPr>
      <w:r>
        <w:t xml:space="preserve">For full-year 2026, management maintained its view that the addressable U.S. IT market would grow at a</w:t>
      </w:r>
      <w:r>
        <w:t xml:space="preserve"> </w:t>
      </w:r>
      <w:r>
        <w:rPr>
          <w:b/>
          <w:bCs/>
        </w:rPr>
        <w:t xml:space="preserve">low-single-digit</w:t>
      </w:r>
      <w:r>
        <w:t xml:space="preserve"> </w:t>
      </w:r>
      <w:r>
        <w:t xml:space="preserve">rate and that CDW could outperform by</w:t>
      </w:r>
      <w:r>
        <w:t xml:space="preserve"> </w:t>
      </w:r>
      <w:r>
        <w:rPr>
          <w:b/>
          <w:bCs/>
        </w:rPr>
        <w:t xml:space="preserve">200–300 bps</w:t>
      </w:r>
      <w:r>
        <w:t xml:space="preserve"> </w:t>
      </w:r>
      <w:r>
        <w:t xml:space="preserve">on a customer-spend basis. It raised its gross-profit outlook to</w:t>
      </w:r>
      <w:r>
        <w:t xml:space="preserve"> </w:t>
      </w:r>
      <w:r>
        <w:rPr>
          <w:b/>
          <w:bCs/>
        </w:rPr>
        <w:t xml:space="preserve">low- to mid-single-digit growth</w:t>
      </w:r>
      <w:r>
        <w:t xml:space="preserve">, expected gross margin to be approximately in line with 2025, and continued to target non-GAAP EPS growth at the</w:t>
      </w:r>
      <w:r>
        <w:t xml:space="preserve"> </w:t>
      </w:r>
      <w:r>
        <w:rPr>
          <w:b/>
          <w:bCs/>
        </w:rPr>
        <w:t xml:space="preserve">high end of mid-single digits</w:t>
      </w:r>
      <w:r>
        <w:t xml:space="preserve">.</w:t>
      </w:r>
    </w:p>
    <w:bookmarkEnd w:id="10"/>
    <w:bookmarkStart w:id="14" w:name="why-q2-should-be-favorable"/>
    <w:p>
      <w:pPr>
        <w:pStyle w:val="Heading2"/>
      </w:pPr>
      <w:r>
        <w:t xml:space="preserve">Why Q2 should be favorable</w:t>
      </w:r>
    </w:p>
    <w:bookmarkStart w:id="11" w:name="X7527193c2368b2e863b39d7dd90797293f2944b"/>
    <w:p>
      <w:pPr>
        <w:pStyle w:val="Heading3"/>
      </w:pPr>
      <w:r>
        <w:t xml:space="preserve">1. Q1 exit rate and backlog created a solid starting point</w:t>
      </w:r>
    </w:p>
    <w:p>
      <w:pPr>
        <w:pStyle w:val="FirstParagraph"/>
      </w:pPr>
      <w:r>
        <w:t xml:space="preserve">CDW delivered a strong first quarter:</w:t>
      </w:r>
    </w:p>
    <w:p>
      <w:pPr>
        <w:pStyle w:val="Compact"/>
        <w:numPr>
          <w:ilvl w:val="0"/>
          <w:numId w:val="1002"/>
        </w:numPr>
      </w:pPr>
      <w:r>
        <w:t xml:space="preserve">Net sales grew</w:t>
      </w:r>
      <w:r>
        <w:t xml:space="preserve"> </w:t>
      </w:r>
      <w:r>
        <w:rPr>
          <w:b/>
          <w:bCs/>
        </w:rPr>
        <w:t xml:space="preserve">9.2%</w:t>
      </w:r>
      <w:r>
        <w:t xml:space="preserve"> </w:t>
      </w:r>
      <w:r>
        <w:t xml:space="preserve">to</w:t>
      </w:r>
      <w:r>
        <w:t xml:space="preserve"> </w:t>
      </w:r>
      <w:r>
        <w:rPr>
          <w:b/>
          <w:bCs/>
        </w:rPr>
        <w:t xml:space="preserve">$5.68 billion</w:t>
      </w:r>
      <w:r>
        <w:t xml:space="preserve">.</w:t>
      </w:r>
    </w:p>
    <w:p>
      <w:pPr>
        <w:pStyle w:val="Compact"/>
        <w:numPr>
          <w:ilvl w:val="0"/>
          <w:numId w:val="1002"/>
        </w:numPr>
      </w:pPr>
      <w:r>
        <w:t xml:space="preserve">Gross profit grew</w:t>
      </w:r>
      <w:r>
        <w:t xml:space="preserve"> </w:t>
      </w:r>
      <w:r>
        <w:rPr>
          <w:b/>
          <w:bCs/>
        </w:rPr>
        <w:t xml:space="preserve">6.0%</w:t>
      </w:r>
      <w:r>
        <w:t xml:space="preserve"> </w:t>
      </w:r>
      <w:r>
        <w:t xml:space="preserve">to</w:t>
      </w:r>
      <w:r>
        <w:t xml:space="preserve"> </w:t>
      </w:r>
      <w:r>
        <w:rPr>
          <w:b/>
          <w:bCs/>
        </w:rPr>
        <w:t xml:space="preserve">$1.19 billion</w:t>
      </w:r>
      <w:r>
        <w:t xml:space="preserve">.</w:t>
      </w:r>
    </w:p>
    <w:p>
      <w:pPr>
        <w:pStyle w:val="Compact"/>
        <w:numPr>
          <w:ilvl w:val="0"/>
          <w:numId w:val="1002"/>
        </w:numPr>
      </w:pPr>
      <w:r>
        <w:t xml:space="preserve">Non-GAAP EPS rose</w:t>
      </w:r>
      <w:r>
        <w:t xml:space="preserve"> </w:t>
      </w:r>
      <w:r>
        <w:rPr>
          <w:b/>
          <w:bCs/>
        </w:rPr>
        <w:t xml:space="preserve">6.3%</w:t>
      </w:r>
      <w:r>
        <w:t xml:space="preserve"> </w:t>
      </w:r>
      <w:r>
        <w:t xml:space="preserve">to</w:t>
      </w:r>
      <w:r>
        <w:t xml:space="preserve"> </w:t>
      </w:r>
      <w:r>
        <w:rPr>
          <w:b/>
          <w:bCs/>
        </w:rPr>
        <w:t xml:space="preserve">$2.28</w:t>
      </w:r>
      <w:r>
        <w:t xml:space="preserve">.</w:t>
      </w:r>
    </w:p>
    <w:p>
      <w:pPr>
        <w:pStyle w:val="Compact"/>
        <w:numPr>
          <w:ilvl w:val="0"/>
          <w:numId w:val="1002"/>
        </w:numPr>
      </w:pPr>
      <w:r>
        <w:t xml:space="preserve">Commercial sales grew</w:t>
      </w:r>
      <w:r>
        <w:t xml:space="preserve"> </w:t>
      </w:r>
      <w:r>
        <w:rPr>
          <w:b/>
          <w:bCs/>
        </w:rPr>
        <w:t xml:space="preserve">9.6%</w:t>
      </w:r>
      <w:r>
        <w:t xml:space="preserve">, Other/International grew</w:t>
      </w:r>
      <w:r>
        <w:t xml:space="preserve"> </w:t>
      </w:r>
      <w:r>
        <w:rPr>
          <w:b/>
          <w:bCs/>
        </w:rPr>
        <w:t xml:space="preserve">17.9%</w:t>
      </w:r>
      <w:r>
        <w:t xml:space="preserve">, Government grew</w:t>
      </w:r>
      <w:r>
        <w:t xml:space="preserve"> </w:t>
      </w:r>
      <w:r>
        <w:rPr>
          <w:b/>
          <w:bCs/>
        </w:rPr>
        <w:t xml:space="preserve">4.6%</w:t>
      </w:r>
      <w:r>
        <w:t xml:space="preserve">, and Education grew</w:t>
      </w:r>
      <w:r>
        <w:t xml:space="preserve"> </w:t>
      </w:r>
      <w:r>
        <w:rPr>
          <w:b/>
          <w:bCs/>
        </w:rPr>
        <w:t xml:space="preserve">2.5%</w:t>
      </w:r>
      <w:r>
        <w:t xml:space="preserve">.</w:t>
      </w:r>
    </w:p>
    <w:p>
      <w:pPr>
        <w:pStyle w:val="FirstParagraph"/>
      </w:pPr>
      <w:r>
        <w:t xml:space="preserve">Importantly, Q1 demand was not entirely shipped: product availability and delivery timing created elevated backlog heading into Q2. Management indicated that Q1 pull-forward was roughly</w:t>
      </w:r>
      <w:r>
        <w:t xml:space="preserve"> </w:t>
      </w:r>
      <w:r>
        <w:rPr>
          <w:b/>
          <w:bCs/>
        </w:rPr>
        <w:t xml:space="preserve">$100 million</w:t>
      </w:r>
      <w:r>
        <w:t xml:space="preserve">, but said backlog growth into Q2 exceeded that amount. That distinction matters: a pull-forward alone is a future-demand headwind, while backlog represents already-booked business awaiting delivery.</w:t>
      </w:r>
    </w:p>
    <w:bookmarkEnd w:id="11"/>
    <w:bookmarkStart w:id="12" w:name="X82f3e558ccb36e5017b48d52907b82767bf445c"/>
    <w:p>
      <w:pPr>
        <w:pStyle w:val="Heading3"/>
      </w:pPr>
      <w:r>
        <w:t xml:space="preserve">2. Infrastructure demand is broad, not limited to one product line</w:t>
      </w:r>
    </w:p>
    <w:p>
      <w:pPr>
        <w:pStyle w:val="FirstParagraph"/>
      </w:pPr>
      <w:r>
        <w:t xml:space="preserve">Q1 strength was concentrated in the categories most directly associated with AI deployment and infrastructure modernization:</w:t>
      </w:r>
    </w:p>
    <w:p>
      <w:pPr>
        <w:pStyle w:val="Compact"/>
        <w:numPr>
          <w:ilvl w:val="0"/>
          <w:numId w:val="1003"/>
        </w:numPr>
      </w:pPr>
      <w:r>
        <w:rPr>
          <w:b/>
          <w:bCs/>
        </w:rPr>
        <w:t xml:space="preserve">Networking</w:t>
      </w:r>
    </w:p>
    <w:p>
      <w:pPr>
        <w:pStyle w:val="Compact"/>
        <w:numPr>
          <w:ilvl w:val="0"/>
          <w:numId w:val="1003"/>
        </w:numPr>
      </w:pPr>
      <w:r>
        <w:rPr>
          <w:b/>
          <w:bCs/>
        </w:rPr>
        <w:t xml:space="preserve">Servers and enterprise storage</w:t>
      </w:r>
    </w:p>
    <w:p>
      <w:pPr>
        <w:pStyle w:val="Compact"/>
        <w:numPr>
          <w:ilvl w:val="0"/>
          <w:numId w:val="1003"/>
        </w:numPr>
      </w:pPr>
      <w:r>
        <w:rPr>
          <w:b/>
          <w:bCs/>
        </w:rPr>
        <w:t xml:space="preserve">Infrastructure software</w:t>
      </w:r>
    </w:p>
    <w:p>
      <w:pPr>
        <w:pStyle w:val="Compact"/>
        <w:numPr>
          <w:ilvl w:val="0"/>
          <w:numId w:val="1003"/>
        </w:numPr>
      </w:pPr>
      <w:r>
        <w:t xml:space="preserve">Selective client-device demand, especially where customers were acting ahead of pricing changes</w:t>
      </w:r>
    </w:p>
    <w:p>
      <w:pPr>
        <w:pStyle w:val="FirstParagraph"/>
      </w:pPr>
      <w:r>
        <w:t xml:space="preserve">Financial-services customers were a particular source of strength, with storage and server demand tied to AI inferencing workloads. Corporate and healthcare demand was also healthy, led by networking upgrades and software.</w:t>
      </w:r>
    </w:p>
    <w:p>
      <w:pPr>
        <w:pStyle w:val="BodyText"/>
      </w:pPr>
      <w:r>
        <w:t xml:space="preserve">For Q2, investors should look for confirmation that these categories remained strong without a material deterioration in orders after the initial purchasing urgency.</w:t>
      </w:r>
    </w:p>
    <w:bookmarkEnd w:id="12"/>
    <w:bookmarkStart w:id="13" w:name="Xf7c1af560ccaca38df1ffcde4a5857930ac3473"/>
    <w:p>
      <w:pPr>
        <w:pStyle w:val="Heading3"/>
      </w:pPr>
      <w:r>
        <w:t xml:space="preserve">3. Services may become a favorable second-half comparison</w:t>
      </w:r>
    </w:p>
    <w:p>
      <w:pPr>
        <w:pStyle w:val="FirstParagraph"/>
      </w:pPr>
      <w:r>
        <w:t xml:space="preserve">Services revenue was flat in Q1 despite solid professional- and managed-services performance, because customers prioritized acquiring hardware and software licenses first. Management’s explanation was that much of the equipment had been delivered but not yet implemented, meaning services should follow deployment.</w:t>
      </w:r>
    </w:p>
    <w:p>
      <w:pPr>
        <w:pStyle w:val="BodyText"/>
      </w:pPr>
      <w:r>
        <w:t xml:space="preserve">That timing dynamic is important for the Q2 call. If CDW reports improving professional services, managed services, SaaS, cloud, warranties, and software assurance trends, it would support the view that the hardware wave is producing higher-margin follow-on revenue rather than simply displacing it.</w:t>
      </w:r>
    </w:p>
    <w:bookmarkEnd w:id="13"/>
    <w:bookmarkEnd w:id="14"/>
    <w:bookmarkStart w:id="17" w:name="X6a8beee9b61ee47f643ae4a6722343524da8560"/>
    <w:p>
      <w:pPr>
        <w:pStyle w:val="Heading2"/>
      </w:pPr>
      <w:r>
        <w:t xml:space="preserve">The central issue: hardware-led mix versus margin recovery</w:t>
      </w:r>
    </w:p>
    <w:p>
      <w:pPr>
        <w:pStyle w:val="FirstParagraph"/>
      </w:pPr>
      <w:r>
        <w:t xml:space="preserve">The main negative in Q1 was not demand; it was mix.</w:t>
      </w:r>
    </w:p>
    <w:p>
      <w:pPr>
        <w:pStyle w:val="BodyText"/>
      </w:pPr>
      <w:r>
        <w:t xml:space="preserve">Gross margin fell</w:t>
      </w:r>
      <w:r>
        <w:t xml:space="preserve"> </w:t>
      </w:r>
      <w:r>
        <w:rPr>
          <w:b/>
          <w:bCs/>
        </w:rPr>
        <w:t xml:space="preserve">60 bps year over year to 21.0%</w:t>
      </w:r>
      <w:r>
        <w:t xml:space="preserve">, principally because netted-down revenue—cloud, SaaS, software assurance, and related agency-style revenue—declined as a percentage of gross profit. Hardware sales grew faster than higher-margin services and recurring software-related offerings.</w:t>
      </w:r>
    </w:p>
    <w:p>
      <w:pPr>
        <w:pStyle w:val="BodyText"/>
      </w:pPr>
      <w:r>
        <w:t xml:space="preserve">This mix pressure reduced non-GAAP operating margin by</w:t>
      </w:r>
      <w:r>
        <w:t xml:space="preserve"> </w:t>
      </w:r>
      <w:r>
        <w:rPr>
          <w:b/>
          <w:bCs/>
        </w:rPr>
        <w:t xml:space="preserve">50 bps</w:t>
      </w:r>
      <w:r>
        <w:t xml:space="preserve">, to</w:t>
      </w:r>
      <w:r>
        <w:t xml:space="preserve"> </w:t>
      </w:r>
      <w:r>
        <w:rPr>
          <w:b/>
          <w:bCs/>
        </w:rPr>
        <w:t xml:space="preserve">8.0%</w:t>
      </w:r>
      <w:r>
        <w:t xml:space="preserve">, despite gross-profit growth.</w:t>
      </w:r>
    </w:p>
    <w:bookmarkStart w:id="15" w:name="what-would-be-constructive-in-q2"/>
    <w:p>
      <w:pPr>
        <w:pStyle w:val="Heading3"/>
      </w:pPr>
      <w:r>
        <w:t xml:space="preserve">What would be constructive in Q2</w:t>
      </w:r>
    </w:p>
    <w:p>
      <w:pPr>
        <w:pStyle w:val="Compact"/>
        <w:numPr>
          <w:ilvl w:val="0"/>
          <w:numId w:val="1004"/>
        </w:numPr>
      </w:pPr>
      <w:r>
        <w:t xml:space="preserve">Gross margin stabilizing around management’s full-year framework.</w:t>
      </w:r>
    </w:p>
    <w:p>
      <w:pPr>
        <w:pStyle w:val="Compact"/>
        <w:numPr>
          <w:ilvl w:val="0"/>
          <w:numId w:val="1004"/>
        </w:numPr>
      </w:pPr>
      <w:r>
        <w:t xml:space="preserve">Evidence that services and netted-down revenue are improving sequentially.</w:t>
      </w:r>
    </w:p>
    <w:p>
      <w:pPr>
        <w:pStyle w:val="Compact"/>
        <w:numPr>
          <w:ilvl w:val="0"/>
          <w:numId w:val="1004"/>
        </w:numPr>
      </w:pPr>
      <w:r>
        <w:t xml:space="preserve">No deterioration in vendor incentives or core hardware economics.</w:t>
      </w:r>
    </w:p>
    <w:p>
      <w:pPr>
        <w:pStyle w:val="Compact"/>
        <w:numPr>
          <w:ilvl w:val="0"/>
          <w:numId w:val="1004"/>
        </w:numPr>
      </w:pPr>
      <w:r>
        <w:t xml:space="preserve">A lower SG&amp;A-to-gross-profit ratio, consistent with management’s seasonal guidance.</w:t>
      </w:r>
    </w:p>
    <w:p>
      <w:pPr>
        <w:pStyle w:val="Compact"/>
        <w:numPr>
          <w:ilvl w:val="0"/>
          <w:numId w:val="1004"/>
        </w:numPr>
      </w:pPr>
      <w:r>
        <w:t xml:space="preserve">Better visibility that AI engagements attach consulting, implementation, security/governance, managed services, and recurring consumption revenue.</w:t>
      </w:r>
    </w:p>
    <w:bookmarkEnd w:id="15"/>
    <w:bookmarkStart w:id="16" w:name="what-would-concern-investors"/>
    <w:p>
      <w:pPr>
        <w:pStyle w:val="Heading3"/>
      </w:pPr>
      <w:r>
        <w:t xml:space="preserve">What would concern investors</w:t>
      </w:r>
    </w:p>
    <w:p>
      <w:pPr>
        <w:pStyle w:val="Compact"/>
        <w:numPr>
          <w:ilvl w:val="0"/>
          <w:numId w:val="1005"/>
        </w:numPr>
      </w:pPr>
      <w:r>
        <w:t xml:space="preserve">Another quarter of hardware growth materially outpacing services and netted-down revenue.</w:t>
      </w:r>
    </w:p>
    <w:p>
      <w:pPr>
        <w:pStyle w:val="Compact"/>
        <w:numPr>
          <w:ilvl w:val="0"/>
          <w:numId w:val="1005"/>
        </w:numPr>
      </w:pPr>
      <w:r>
        <w:t xml:space="preserve">Gross-margin pressure worse than anticipated.</w:t>
      </w:r>
    </w:p>
    <w:p>
      <w:pPr>
        <w:pStyle w:val="Compact"/>
        <w:numPr>
          <w:ilvl w:val="0"/>
          <w:numId w:val="1005"/>
        </w:numPr>
      </w:pPr>
      <w:r>
        <w:t xml:space="preserve">Commentary that memory inflation or OEM pricing is compressing reseller economics.</w:t>
      </w:r>
    </w:p>
    <w:p>
      <w:pPr>
        <w:pStyle w:val="Compact"/>
        <w:numPr>
          <w:ilvl w:val="0"/>
          <w:numId w:val="1005"/>
        </w:numPr>
      </w:pPr>
      <w:r>
        <w:t xml:space="preserve">A more cautious second-half outlook due to demand digestion after the pull-forward.</w:t>
      </w:r>
    </w:p>
    <w:bookmarkEnd w:id="16"/>
    <w:bookmarkEnd w:id="17"/>
    <w:bookmarkStart w:id="18" w:name="Xeff0d32c452beaabea73739977d07903a62e74a"/>
    <w:p>
      <w:pPr>
        <w:pStyle w:val="Heading2"/>
      </w:pPr>
      <w:r>
        <w:t xml:space="preserve">AI: increasingly relevant, but investors need proof of monetization</w:t>
      </w:r>
    </w:p>
    <w:p>
      <w:pPr>
        <w:pStyle w:val="FirstParagraph"/>
      </w:pPr>
      <w:r>
        <w:t xml:space="preserve">CDW’s strategic case is that AI raises IT complexity and therefore increases the value of its full-stack model: infrastructure, software, cloud, cybersecurity, advisory, deployment, and managed services.</w:t>
      </w:r>
    </w:p>
    <w:p>
      <w:pPr>
        <w:pStyle w:val="BodyText"/>
      </w:pPr>
      <w:r>
        <w:t xml:space="preserve">Management has highlighted private AI-factory engagements, GPU-as-a-service capability through Boost Run, and the potential for repeatable solutions across industry verticals. The company has been clear that AI opportunities can carry:</w:t>
      </w:r>
    </w:p>
    <w:p>
      <w:pPr>
        <w:pStyle w:val="Compact"/>
        <w:numPr>
          <w:ilvl w:val="0"/>
          <w:numId w:val="1006"/>
        </w:numPr>
      </w:pPr>
      <w:r>
        <w:t xml:space="preserve">Larger deal sizes,</w:t>
      </w:r>
    </w:p>
    <w:p>
      <w:pPr>
        <w:pStyle w:val="Compact"/>
        <w:numPr>
          <w:ilvl w:val="0"/>
          <w:numId w:val="1006"/>
        </w:numPr>
      </w:pPr>
      <w:r>
        <w:t xml:space="preserve">More professional-services content,</w:t>
      </w:r>
    </w:p>
    <w:p>
      <w:pPr>
        <w:pStyle w:val="Compact"/>
        <w:numPr>
          <w:ilvl w:val="0"/>
          <w:numId w:val="1006"/>
        </w:numPr>
      </w:pPr>
      <w:r>
        <w:t xml:space="preserve">Higher-margin managed-services potential, and</w:t>
      </w:r>
    </w:p>
    <w:p>
      <w:pPr>
        <w:pStyle w:val="Compact"/>
        <w:numPr>
          <w:ilvl w:val="0"/>
          <w:numId w:val="1006"/>
        </w:numPr>
      </w:pPr>
      <w:r>
        <w:t xml:space="preserve">Recurring consumption revenue.</w:t>
      </w:r>
    </w:p>
    <w:p>
      <w:pPr>
        <w:pStyle w:val="FirstParagraph"/>
      </w:pPr>
      <w:r>
        <w:t xml:space="preserve">The critical earnings-call question is whether CDW can quantify this opportunity more concretely. Investors should listen for commentary on AI pipeline growth, conversion cycles, services attachment, repeatability of solution architectures, and the split between on-premises, cloud, colo, and GPU-as-a-service deployments.</w:t>
      </w:r>
    </w:p>
    <w:bookmarkEnd w:id="18"/>
    <w:bookmarkStart w:id="19" w:name="X95c66c47af809b156a37414a453459882ed792a"/>
    <w:p>
      <w:pPr>
        <w:pStyle w:val="Heading2"/>
      </w:pPr>
      <w:r>
        <w:t xml:space="preserve">Geared for Growth: the medium-term earnings lever</w:t>
      </w:r>
    </w:p>
    <w:p>
      <w:pPr>
        <w:pStyle w:val="FirstParagraph"/>
      </w:pPr>
      <w:r>
        <w:t xml:space="preserve">CDW’s internal AI and process-modernization initiative,</w:t>
      </w:r>
      <w:r>
        <w:t xml:space="preserve"> </w:t>
      </w:r>
      <w:r>
        <w:rPr>
          <w:b/>
          <w:bCs/>
        </w:rPr>
        <w:t xml:space="preserve">Geared for Growth</w:t>
      </w:r>
      <w:r>
        <w:t xml:space="preserve">, is a major part of the longer-term thesis. Management expects benefits to begin appearing in the second half of 2026 and has identified:</w:t>
      </w:r>
    </w:p>
    <w:p>
      <w:pPr>
        <w:pStyle w:val="Compact"/>
        <w:numPr>
          <w:ilvl w:val="0"/>
          <w:numId w:val="1007"/>
        </w:numPr>
      </w:pPr>
      <w:r>
        <w:t xml:space="preserve">Approximately</w:t>
      </w:r>
      <w:r>
        <w:t xml:space="preserve"> </w:t>
      </w:r>
      <w:r>
        <w:rPr>
          <w:b/>
          <w:bCs/>
        </w:rPr>
        <w:t xml:space="preserve">$100 million</w:t>
      </w:r>
      <w:r>
        <w:t xml:space="preserve"> </w:t>
      </w:r>
      <w:r>
        <w:t xml:space="preserve">of gross annual run-rate opportunity by 2027;</w:t>
      </w:r>
    </w:p>
    <w:p>
      <w:pPr>
        <w:pStyle w:val="Compact"/>
        <w:numPr>
          <w:ilvl w:val="0"/>
          <w:numId w:val="1007"/>
        </w:numPr>
      </w:pPr>
      <w:r>
        <w:t xml:space="preserve">Approximately</w:t>
      </w:r>
      <w:r>
        <w:t xml:space="preserve"> </w:t>
      </w:r>
      <w:r>
        <w:rPr>
          <w:b/>
          <w:bCs/>
        </w:rPr>
        <w:t xml:space="preserve">$200 million</w:t>
      </w:r>
      <w:r>
        <w:t xml:space="preserve"> </w:t>
      </w:r>
      <w:r>
        <w:t xml:space="preserve">by 2028;</w:t>
      </w:r>
    </w:p>
    <w:p>
      <w:pPr>
        <w:pStyle w:val="Compact"/>
        <w:numPr>
          <w:ilvl w:val="0"/>
          <w:numId w:val="1007"/>
        </w:numPr>
      </w:pPr>
      <w:r>
        <w:t xml:space="preserve">With up to roughly half potentially reinvested into growth initiatives.</w:t>
      </w:r>
    </w:p>
    <w:p>
      <w:pPr>
        <w:pStyle w:val="FirstParagraph"/>
      </w:pPr>
      <w:r>
        <w:t xml:space="preserve">The goal is to return SG&amp;A as a percentage of gross profit toward a</w:t>
      </w:r>
      <w:r>
        <w:t xml:space="preserve"> </w:t>
      </w:r>
      <w:r>
        <w:rPr>
          <w:b/>
          <w:bCs/>
        </w:rPr>
        <w:t xml:space="preserve">55%–56%</w:t>
      </w:r>
      <w:r>
        <w:t xml:space="preserve"> </w:t>
      </w:r>
      <w:r>
        <w:t xml:space="preserve">“sweet spot” and restore durable operating leverage.</w:t>
      </w:r>
    </w:p>
    <w:p>
      <w:pPr>
        <w:pStyle w:val="BodyText"/>
      </w:pPr>
      <w:r>
        <w:t xml:space="preserve">For Q2, investors should not expect the full benefit to be visible. But the report should provide an early checkpoint: is the company beginning to lower its cost-to-serve and improve sales productivity, quote-to-cash processes, procurement, and operating efficiency without harming growth?</w:t>
      </w:r>
    </w:p>
    <w:bookmarkEnd w:id="19"/>
    <w:bookmarkStart w:id="20" w:name="end-market-scorecard"/>
    <w:p>
      <w:pPr>
        <w:pStyle w:val="Heading2"/>
      </w:pPr>
      <w:r>
        <w:t xml:space="preserve">End-market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End market</w:t>
            </w:r>
          </w:p>
        </w:tc>
        <w:tc>
          <w:tcPr/>
          <w:p>
            <w:pPr>
              <w:pStyle w:val="Compact"/>
            </w:pPr>
            <w:r>
              <w:t xml:space="preserve">Q1 read-through</w:t>
            </w:r>
          </w:p>
        </w:tc>
        <w:tc>
          <w:tcPr/>
          <w:p>
            <w:pPr>
              <w:pStyle w:val="Compact"/>
            </w:pPr>
            <w:r>
              <w:t xml:space="preserve">What to watch in Q2</w:t>
            </w:r>
          </w:p>
        </w:tc>
      </w:tr>
      <w:tr>
        <w:tc>
          <w:tcPr/>
          <w:p>
            <w:pPr>
              <w:pStyle w:val="Compact"/>
            </w:pPr>
            <w:r>
              <w:rPr>
                <w:b/>
                <w:bCs/>
              </w:rPr>
              <w:t xml:space="preserve">Commercial</w:t>
            </w:r>
          </w:p>
        </w:tc>
        <w:tc>
          <w:tcPr/>
          <w:p>
            <w:pPr>
              <w:pStyle w:val="Compact"/>
            </w:pPr>
            <w:r>
              <w:t xml:space="preserve">Strong, up 9.6%; corporate, healthcare, and financial services all contributed</w:t>
            </w:r>
          </w:p>
        </w:tc>
        <w:tc>
          <w:tcPr/>
          <w:p>
            <w:pPr>
              <w:pStyle w:val="Compact"/>
            </w:pPr>
            <w:r>
              <w:t xml:space="preserve">Durability of network, server, storage, and software demand; AI deal progression</w:t>
            </w:r>
          </w:p>
        </w:tc>
      </w:tr>
      <w:tr>
        <w:tc>
          <w:tcPr/>
          <w:p>
            <w:pPr>
              <w:pStyle w:val="Compact"/>
            </w:pPr>
            <w:r>
              <w:rPr>
                <w:b/>
                <w:bCs/>
              </w:rPr>
              <w:t xml:space="preserve">Government</w:t>
            </w:r>
          </w:p>
        </w:tc>
        <w:tc>
          <w:tcPr/>
          <w:p>
            <w:pPr>
              <w:pStyle w:val="Compact"/>
            </w:pPr>
            <w:r>
              <w:t xml:space="preserve">Sales up 4.6%, but federal demand and gross profit were weaker</w:t>
            </w:r>
          </w:p>
        </w:tc>
        <w:tc>
          <w:tcPr/>
          <w:p>
            <w:pPr>
              <w:pStyle w:val="Compact"/>
            </w:pPr>
            <w:r>
              <w:t xml:space="preserve">Federal procurement normalization, budget timing, and state/local resilience</w:t>
            </w:r>
          </w:p>
        </w:tc>
      </w:tr>
      <w:tr>
        <w:tc>
          <w:tcPr/>
          <w:p>
            <w:pPr>
              <w:pStyle w:val="Compact"/>
            </w:pPr>
            <w:r>
              <w:rPr>
                <w:b/>
                <w:bCs/>
              </w:rPr>
              <w:t xml:space="preserve">Education</w:t>
            </w:r>
          </w:p>
        </w:tc>
        <w:tc>
          <w:tcPr/>
          <w:p>
            <w:pPr>
              <w:pStyle w:val="Compact"/>
            </w:pPr>
            <w:r>
              <w:t xml:space="preserve">Up 2.5%; K-12 strength offset by slower higher education</w:t>
            </w:r>
          </w:p>
        </w:tc>
        <w:tc>
          <w:tcPr/>
          <w:p>
            <w:pPr>
              <w:pStyle w:val="Compact"/>
            </w:pPr>
            <w:r>
              <w:t xml:space="preserve">Seasonal K-12 purchasing and whether higher-ed decision cycles improve</w:t>
            </w:r>
          </w:p>
        </w:tc>
      </w:tr>
      <w:tr>
        <w:tc>
          <w:tcPr/>
          <w:p>
            <w:pPr>
              <w:pStyle w:val="Compact"/>
            </w:pPr>
            <w:r>
              <w:rPr>
                <w:b/>
                <w:bCs/>
              </w:rPr>
              <w:t xml:space="preserve">International</w:t>
            </w:r>
          </w:p>
        </w:tc>
        <w:tc>
          <w:tcPr/>
          <w:p>
            <w:pPr>
              <w:pStyle w:val="Compact"/>
            </w:pPr>
            <w:r>
              <w:t xml:space="preserve">Up 17.9%, with broad UK/Canada hardware demand</w:t>
            </w:r>
          </w:p>
        </w:tc>
        <w:tc>
          <w:tcPr/>
          <w:p>
            <w:pPr>
              <w:pStyle w:val="Compact"/>
            </w:pPr>
            <w:r>
              <w:t xml:space="preserve">Whether growth remains broad-based and the degree of FX contribution</w:t>
            </w:r>
          </w:p>
        </w:tc>
      </w:tr>
    </w:tbl>
    <w:p>
      <w:pPr>
        <w:pStyle w:val="BodyText"/>
      </w:pPr>
      <w:r>
        <w:t xml:space="preserve">Federal and higher education remain the clearest weak points. CDW cited procurement delays and budget timing in federal, while higher education faced extended decision-making. A stabilization in either area would be an incremental positive.</w:t>
      </w:r>
    </w:p>
    <w:bookmarkEnd w:id="20"/>
    <w:bookmarkStart w:id="21" w:name="X65e4dc15669820b4bb2ccac9422bfe209aaa9b9"/>
    <w:p>
      <w:pPr>
        <w:pStyle w:val="Heading2"/>
      </w:pPr>
      <w:r>
        <w:t xml:space="preserve">Capital allocation and balance-sheet considerations</w:t>
      </w:r>
    </w:p>
    <w:p>
      <w:pPr>
        <w:pStyle w:val="FirstParagraph"/>
      </w:pPr>
      <w:r>
        <w:t xml:space="preserve">CDW retains financial flexibility despite a leveraged capital structure:</w:t>
      </w:r>
    </w:p>
    <w:p>
      <w:pPr>
        <w:pStyle w:val="Compact"/>
        <w:numPr>
          <w:ilvl w:val="0"/>
          <w:numId w:val="1008"/>
        </w:numPr>
      </w:pPr>
      <w:r>
        <w:t xml:space="preserve">Q1 adjusted free cash flow was</w:t>
      </w:r>
      <w:r>
        <w:t xml:space="preserve"> </w:t>
      </w:r>
      <w:r>
        <w:rPr>
          <w:b/>
          <w:bCs/>
        </w:rPr>
        <w:t xml:space="preserve">$251 million</w:t>
      </w:r>
      <w:r>
        <w:t xml:space="preserve">, or roughly</w:t>
      </w:r>
      <w:r>
        <w:t xml:space="preserve"> </w:t>
      </w:r>
      <w:r>
        <w:rPr>
          <w:b/>
          <w:bCs/>
        </w:rPr>
        <w:t xml:space="preserve">85%</w:t>
      </w:r>
      <w:r>
        <w:t xml:space="preserve"> </w:t>
      </w:r>
      <w:r>
        <w:t xml:space="preserve">of non-GAAP net income.</w:t>
      </w:r>
    </w:p>
    <w:p>
      <w:pPr>
        <w:pStyle w:val="Compact"/>
        <w:numPr>
          <w:ilvl w:val="0"/>
          <w:numId w:val="1008"/>
        </w:numPr>
      </w:pPr>
      <w:r>
        <w:t xml:space="preserve">Net leverage ended Q1 at approximately</w:t>
      </w:r>
      <w:r>
        <w:t xml:space="preserve"> </w:t>
      </w:r>
      <w:r>
        <w:rPr>
          <w:b/>
          <w:bCs/>
        </w:rPr>
        <w:t xml:space="preserve">2.5x</w:t>
      </w:r>
      <w:r>
        <w:t xml:space="preserve">, within its 2x–3x target range.</w:t>
      </w:r>
    </w:p>
    <w:p>
      <w:pPr>
        <w:pStyle w:val="Compact"/>
        <w:numPr>
          <w:ilvl w:val="0"/>
          <w:numId w:val="1008"/>
        </w:numPr>
      </w:pPr>
      <w:r>
        <w:t xml:space="preserve">CDW repurchased</w:t>
      </w:r>
      <w:r>
        <w:t xml:space="preserve"> </w:t>
      </w:r>
      <m:oMath>
        <m:r>
          <m:t>201</m:t>
        </m:r>
        <m:r>
          <m:t>m</m:t>
        </m:r>
        <m:r>
          <m:t>i</m:t>
        </m:r>
        <m:r>
          <m:t>l</m:t>
        </m:r>
        <m:r>
          <m:t>l</m:t>
        </m:r>
        <m:r>
          <m:t>i</m:t>
        </m:r>
        <m:r>
          <m:t>o</m:t>
        </m:r>
        <m:r>
          <m:t>n</m:t>
        </m:r>
        <m:r>
          <m:rPr>
            <m:sty m:val="p"/>
          </m:rPr>
          <m:t>*</m:t>
        </m:r>
        <m:r>
          <m:rPr>
            <m:sty m:val="p"/>
          </m:rPr>
          <m:t>*</m:t>
        </m:r>
        <m:r>
          <m:t>o</m:t>
        </m:r>
        <m:r>
          <m:t>f</m:t>
        </m:r>
        <m:r>
          <m:t>s</m:t>
        </m:r>
        <m:r>
          <m:t>t</m:t>
        </m:r>
        <m:r>
          <m:t>o</m:t>
        </m:r>
        <m:r>
          <m:t>c</m:t>
        </m:r>
        <m:r>
          <m:t>k</m:t>
        </m:r>
        <m:r>
          <m:t>a</m:t>
        </m:r>
        <m:r>
          <m:t>n</m:t>
        </m:r>
        <m:r>
          <m:t>d</m:t>
        </m:r>
        <m:r>
          <m:t>p</m:t>
        </m:r>
        <m:r>
          <m:t>a</m:t>
        </m:r>
        <m:r>
          <m:t>i</m:t>
        </m:r>
        <m:r>
          <m:t>d</m:t>
        </m:r>
        <m:r>
          <m:rPr>
            <m:sty m:val="p"/>
          </m:rPr>
          <m:t>*</m:t>
        </m:r>
        <m:r>
          <m:rPr>
            <m:sty m:val="p"/>
          </m:rPr>
          <m:t>*</m:t>
        </m:r>
      </m:oMath>
      <w:r>
        <w:rPr>
          <w:b/>
          <w:bCs/>
        </w:rPr>
        <w:t xml:space="preserve">81 million</w:t>
      </w:r>
      <w:r>
        <w:t xml:space="preserve"> </w:t>
      </w:r>
      <w:r>
        <w:t xml:space="preserve">in dividends during Q1.</w:t>
      </w:r>
    </w:p>
    <w:p>
      <w:pPr>
        <w:pStyle w:val="Compact"/>
        <w:numPr>
          <w:ilvl w:val="0"/>
          <w:numId w:val="1008"/>
        </w:numPr>
      </w:pPr>
      <w:r>
        <w:t xml:space="preserve">The board authorized a further</w:t>
      </w:r>
      <w:r>
        <w:t xml:space="preserve"> </w:t>
      </w:r>
      <w:r>
        <w:rPr>
          <w:b/>
          <w:bCs/>
        </w:rPr>
        <w:t xml:space="preserve">$1 billion</w:t>
      </w:r>
      <w:r>
        <w:t xml:space="preserve"> </w:t>
      </w:r>
      <w:r>
        <w:t xml:space="preserve">increase to the repurchase program in May.</w:t>
      </w:r>
    </w:p>
    <w:p>
      <w:pPr>
        <w:pStyle w:val="FirstParagraph"/>
      </w:pPr>
      <w:r>
        <w:t xml:space="preserve">Share repurchases remain an important EPS tailwind, especially if management remains convinced the stock is undervalued. At the same time, investors should monitor inventory and working capital: Q1 inventory rose sharply as CDW positioned product for customers amid supply and pricing uncertainty. That supported sales and backlog conversion, but inventory normalization will be important for cash flow later in the year.</w:t>
      </w:r>
    </w:p>
    <w:bookmarkEnd w:id="21"/>
    <w:bookmarkStart w:id="22" w:name="stock-setup"/>
    <w:p>
      <w:pPr>
        <w:pStyle w:val="Heading2"/>
      </w:pPr>
      <w:r>
        <w:t xml:space="preserve">Stock setup</w:t>
      </w:r>
    </w:p>
    <w:p>
      <w:pPr>
        <w:pStyle w:val="FirstParagraph"/>
      </w:pPr>
      <w:r>
        <w:t xml:space="preserve">CDW closed at</w:t>
      </w:r>
      <w:r>
        <w:t xml:space="preserve"> </w:t>
      </w:r>
      <w:r>
        <w:rPr>
          <w:b/>
          <w:bCs/>
        </w:rPr>
        <w:t xml:space="preserve">$154.03 on August 4, 2026</w:t>
      </w:r>
      <w:r>
        <w:t xml:space="preserve">, up about</w:t>
      </w:r>
      <w:r>
        <w:t xml:space="preserve"> </w:t>
      </w:r>
      <w:r>
        <w:rPr>
          <w:b/>
          <w:bCs/>
        </w:rPr>
        <w:t xml:space="preserve">13.1%</w:t>
      </w:r>
      <w:r>
        <w:t xml:space="preserve"> </w:t>
      </w:r>
      <w:r>
        <w:t xml:space="preserve">from its December 31, 2025 close and roughly</w:t>
      </w:r>
      <w:r>
        <w:t xml:space="preserve"> </w:t>
      </w:r>
      <w:r>
        <w:rPr>
          <w:b/>
          <w:bCs/>
        </w:rPr>
        <w:t xml:space="preserve">41%</w:t>
      </w:r>
      <w:r>
        <w:t xml:space="preserve"> </w:t>
      </w:r>
      <w:r>
        <w:t xml:space="preserve">from its May 6 close following the Q1 report.</w:t>
      </w:r>
    </w:p>
    <w:p>
      <w:pPr>
        <w:pStyle w:val="BodyText"/>
      </w:pPr>
      <w:r>
        <w:t xml:space="preserve">That recovery suggests investors have already become more constructive on the company’s AI exposure, Q2 backlog conversion, and cost-efficiency opportunity. As a result, a simple EPS beat may not be sufficient; the market is likely to focus on the</w:t>
      </w:r>
      <w:r>
        <w:t xml:space="preserve"> </w:t>
      </w:r>
      <w:r>
        <w:rPr>
          <w:b/>
          <w:bCs/>
        </w:rPr>
        <w:t xml:space="preserve">second-half demand outlook, mix trajectory, and confidence in margin/SG&amp;A improvement</w:t>
      </w:r>
      <w:r>
        <w:t xml:space="preserve">.</w:t>
      </w:r>
    </w:p>
    <w:bookmarkEnd w:id="22"/>
    <w:bookmarkStart w:id="23" w:name="key-questions-for-the-call"/>
    <w:p>
      <w:pPr>
        <w:pStyle w:val="Heading2"/>
      </w:pPr>
      <w:r>
        <w:t xml:space="preserve">Key questions for the call</w:t>
      </w:r>
    </w:p>
    <w:p>
      <w:pPr>
        <w:pStyle w:val="Compact"/>
        <w:numPr>
          <w:ilvl w:val="0"/>
          <w:numId w:val="1009"/>
        </w:numPr>
      </w:pPr>
      <w:r>
        <w:rPr>
          <w:b/>
          <w:bCs/>
        </w:rPr>
        <w:t xml:space="preserve">Has order activity remained strong beyond the Q1/Q2 hardware pull-forward?</w:t>
      </w:r>
    </w:p>
    <w:p>
      <w:pPr>
        <w:pStyle w:val="Compact"/>
        <w:numPr>
          <w:ilvl w:val="0"/>
          <w:numId w:val="1009"/>
        </w:numPr>
      </w:pPr>
      <w:r>
        <w:rPr>
          <w:b/>
          <w:bCs/>
        </w:rPr>
        <w:t xml:space="preserve">How much Q2 revenue came from backlog, and has backlog continued to build, stabilize, or unwind?</w:t>
      </w:r>
    </w:p>
    <w:p>
      <w:pPr>
        <w:pStyle w:val="Compact"/>
        <w:numPr>
          <w:ilvl w:val="0"/>
          <w:numId w:val="1009"/>
        </w:numPr>
      </w:pPr>
      <w:r>
        <w:rPr>
          <w:b/>
          <w:bCs/>
        </w:rPr>
        <w:t xml:space="preserve">Are memory prices and availability becoming more orderly, or are further price/supply disruptions likely?</w:t>
      </w:r>
    </w:p>
    <w:p>
      <w:pPr>
        <w:pStyle w:val="Compact"/>
        <w:numPr>
          <w:ilvl w:val="0"/>
          <w:numId w:val="1009"/>
        </w:numPr>
      </w:pPr>
      <w:r>
        <w:rPr>
          <w:b/>
          <w:bCs/>
        </w:rPr>
        <w:t xml:space="preserve">When will services revenue begin to catch up with hardware shipments and installations?</w:t>
      </w:r>
    </w:p>
    <w:p>
      <w:pPr>
        <w:pStyle w:val="Compact"/>
        <w:numPr>
          <w:ilvl w:val="0"/>
          <w:numId w:val="1009"/>
        </w:numPr>
      </w:pPr>
      <w:r>
        <w:rPr>
          <w:b/>
          <w:bCs/>
        </w:rPr>
        <w:t xml:space="preserve">Did gross margin stabilize, and is the full-year “approximately in line with 2025” outlook intact?</w:t>
      </w:r>
    </w:p>
    <w:p>
      <w:pPr>
        <w:pStyle w:val="Compact"/>
        <w:numPr>
          <w:ilvl w:val="0"/>
          <w:numId w:val="1009"/>
        </w:numPr>
      </w:pPr>
      <w:r>
        <w:rPr>
          <w:b/>
          <w:bCs/>
        </w:rPr>
        <w:t xml:space="preserve">Are AI deals demonstrably larger, more services-intensive, and higher margin than traditional infrastructure transactions?</w:t>
      </w:r>
    </w:p>
    <w:p>
      <w:pPr>
        <w:pStyle w:val="Compact"/>
        <w:numPr>
          <w:ilvl w:val="0"/>
          <w:numId w:val="1009"/>
        </w:numPr>
      </w:pPr>
      <w:r>
        <w:rPr>
          <w:b/>
          <w:bCs/>
        </w:rPr>
        <w:t xml:space="preserve">What early financial benefit from Geared for Growth should investors expect in 2H26?</w:t>
      </w:r>
    </w:p>
    <w:p>
      <w:pPr>
        <w:pStyle w:val="Compact"/>
        <w:numPr>
          <w:ilvl w:val="0"/>
          <w:numId w:val="1009"/>
        </w:numPr>
      </w:pPr>
      <w:r>
        <w:rPr>
          <w:b/>
          <w:bCs/>
        </w:rPr>
        <w:t xml:space="preserve">Has federal demand improved, and are higher-education buying cycles normalizing?</w:t>
      </w:r>
    </w:p>
    <w:p>
      <w:pPr>
        <w:pStyle w:val="Compact"/>
        <w:numPr>
          <w:ilvl w:val="0"/>
          <w:numId w:val="1009"/>
        </w:numPr>
      </w:pPr>
      <w:r>
        <w:rPr>
          <w:b/>
          <w:bCs/>
        </w:rPr>
        <w:t xml:space="preserve">Will CDW increase its full-year outlook if Q2 order trends and backlog remain strong?</w:t>
      </w:r>
    </w:p>
    <w:bookmarkEnd w:id="23"/>
    <w:bookmarkStart w:id="24" w:name="bottom-line"/>
    <w:p>
      <w:pPr>
        <w:pStyle w:val="Heading2"/>
      </w:pPr>
      <w:r>
        <w:t xml:space="preserve">Bottom line</w:t>
      </w:r>
    </w:p>
    <w:p>
      <w:pPr>
        <w:pStyle w:val="FirstParagraph"/>
      </w:pPr>
      <w:r>
        <w:t xml:space="preserve">CDW’s Q2 setup is fundamentally favorable: strong Q1 infrastructure demand, higher backlog, clear management guidance for high-single-digit EPS growth, and a pathway toward second-half operating leverage. The report’s decisive factor will be whether management can show that current hardware strength is evolving into a</w:t>
      </w:r>
      <w:r>
        <w:t xml:space="preserve"> </w:t>
      </w:r>
      <w:r>
        <w:rPr>
          <w:b/>
          <w:bCs/>
        </w:rPr>
        <w:t xml:space="preserve">balanced full-stack growth cycle</w:t>
      </w:r>
      <w:r>
        <w:t xml:space="preserve">—one that adds services, recurring revenue, and margin—not merely a temporary response to supply constraints and price increases.</w:t>
      </w:r>
    </w:p>
    <w:p>
      <w:pPr>
        <w:pStyle w:val="BodyText"/>
      </w:pPr>
      <w:r>
        <w:rPr>
          <w:b/>
          <w:bCs/>
        </w:rPr>
        <w:t xml:space="preserve">Most bullish outcome:</w:t>
      </w:r>
      <w:r>
        <w:t xml:space="preserve"> </w:t>
      </w:r>
      <w:r>
        <w:t xml:space="preserve">Q2 beats, backlog/order trends remain robust, services and netted-down revenue begin recovering, and management raises full-year expectations.</w:t>
      </w:r>
    </w:p>
    <w:p>
      <w:pPr>
        <w:pStyle w:val="BodyText"/>
      </w:pPr>
      <w:r>
        <w:rPr>
          <w:b/>
          <w:bCs/>
        </w:rPr>
        <w:t xml:space="preserve">Most bearish outcome:</w:t>
      </w:r>
      <w:r>
        <w:t xml:space="preserve"> </w:t>
      </w:r>
      <w:r>
        <w:t xml:space="preserve">Q2 meets expectations but management signals hardware demand is normalizing sharply, mix pressure persists, and the second-half outlook remains cautious.</w:t>
      </w:r>
    </w:p>
    <w:p>
      <w:pPr>
        <w:pStyle w:val="BodyText"/>
      </w:pPr>
      <w:r>
        <w:rPr>
          <w:i/>
          <w:iCs/>
        </w:rPr>
        <w:t xml:space="preserve">Research basis: CDW 1Q26 earnings call and Form 10-Q; CDW management remarks at the JPMorgan Global Technology, Media and Communications Conference; historical CDW share-price data through August 4, 2026. Current sell-side consensus estimates were not available through the provided research tools.</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2026-08-05T00:18:42Z</dcterms:created>
  <dcterms:modified xsi:type="dcterms:W3CDTF">2026-08-05T00:18:42Z</dcterms:modified>
</cp:coreProperties>
</file>

<file path=docProps/custom.xml><?xml version="1.0" encoding="utf-8"?>
<Properties xmlns="http://schemas.openxmlformats.org/officeDocument/2006/custom-properties" xmlns:vt="http://schemas.openxmlformats.org/officeDocument/2006/docPropsVTypes"/>
</file>