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CDW Corporation (CDW)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CDW Corporation</w:t>
            </w:r>
          </w:p>
        </w:tc>
      </w:tr>
      <w:tr>
        <w:tc>
          <w:tcPr>
            <w:tcW w:type="dxa" w:w="4320"/>
          </w:tcPr>
          <w:p>
            <w:r>
              <w:rPr>
                <w:rFonts w:ascii="Calibri" w:hAnsi="Calibri"/>
                <w:b/>
                <w:sz w:val="22"/>
              </w:rPr>
              <w:t>Ticker</w:t>
            </w:r>
          </w:p>
        </w:tc>
        <w:tc>
          <w:tcPr>
            <w:tcW w:type="dxa" w:w="4320"/>
          </w:tcPr>
          <w:p>
            <w:r>
              <w:rPr>
                <w:rFonts w:ascii="Calibri" w:hAnsi="Calibri"/>
                <w:sz w:val="22"/>
              </w:rPr>
              <w:t>NASDAQ: CDW</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5, 2026 — Before Market Open</w:t>
            </w:r>
          </w:p>
        </w:tc>
      </w:tr>
      <w:tr>
        <w:tc>
          <w:tcPr>
            <w:tcW w:type="dxa" w:w="4320"/>
          </w:tcPr>
          <w:p>
            <w:r>
              <w:rPr>
                <w:rFonts w:ascii="Calibri" w:hAnsi="Calibri"/>
                <w:b/>
                <w:sz w:val="22"/>
              </w:rPr>
              <w:t>Last Earnings</w:t>
            </w:r>
          </w:p>
        </w:tc>
        <w:tc>
          <w:tcPr>
            <w:tcW w:type="dxa" w:w="4320"/>
          </w:tcPr>
          <w:p>
            <w:r>
              <w:rPr>
                <w:rFonts w:ascii="Calibri" w:hAnsi="Calibri"/>
                <w:sz w:val="22"/>
              </w:rPr>
              <w:t>May 6, 2026 (Q1 2026)</w:t>
            </w:r>
          </w:p>
        </w:tc>
      </w:tr>
      <w:tr>
        <w:tc>
          <w:tcPr>
            <w:tcW w:type="dxa" w:w="4320"/>
          </w:tcPr>
          <w:p>
            <w:r>
              <w:rPr>
                <w:rFonts w:ascii="Calibri" w:hAnsi="Calibri"/>
                <w:b/>
                <w:sz w:val="22"/>
              </w:rPr>
              <w:t>Prepared</w:t>
            </w:r>
          </w:p>
        </w:tc>
        <w:tc>
          <w:tcPr>
            <w:tcW w:type="dxa" w:w="4320"/>
          </w:tcPr>
          <w:p>
            <w:r>
              <w:rPr>
                <w:rFonts w:ascii="Calibri" w:hAnsi="Calibri"/>
                <w:sz w:val="22"/>
              </w:rPr>
              <w:t>August 4, 2026</w:t>
            </w:r>
          </w:p>
        </w:tc>
      </w:tr>
      <w:tr>
        <w:tc>
          <w:tcPr>
            <w:tcW w:type="dxa" w:w="4320"/>
          </w:tcPr>
          <w:p>
            <w:r>
              <w:rPr>
                <w:rFonts w:ascii="Calibri" w:hAnsi="Calibri"/>
                <w:b/>
                <w:sz w:val="22"/>
              </w:rPr>
              <w:t>Sector ETF Benchmark</w:t>
            </w:r>
          </w:p>
        </w:tc>
        <w:tc>
          <w:tcPr>
            <w:tcW w:type="dxa" w:w="4320"/>
          </w:tcPr>
          <w:p>
            <w:r>
              <w:rPr>
                <w:rFonts w:ascii="Calibri" w:hAnsi="Calibri"/>
                <w:sz w:val="22"/>
              </w:rPr>
              <w:t>XLK (Technology Select Sector SPDR)</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constructive — </w:t>
      </w:r>
      <w:r>
        <w:rPr>
          <w:rFonts w:ascii="Calibri" w:hAnsi="Calibri"/>
          <w:b/>
          <w:color w:val="525866"/>
          <w:sz w:val="22"/>
        </w:rPr>
        <w:t>elevated backlog entering the quarter, high-single-digit EPS growth guidance, and a gross margin inflection story</w:t>
      </w:r>
      <w:r>
        <w:rPr>
          <w:rFonts w:ascii="Calibri" w:hAnsi="Calibri"/>
          <w:color w:val="525866"/>
          <w:sz w:val="22"/>
        </w:rPr>
        <w:t xml:space="preserve"> — but the bar has risen sharply with the stock up ~41% since Q1 earnings, making execution on gross profit and services reacceleration the critical swing factor.</w:t>
      </w:r>
    </w:p>
    <w:p>
      <w:r>
        <w:rPr>
          <w:rFonts w:ascii="Calibri" w:hAnsi="Calibri"/>
          <w:color w:val="525866"/>
          <w:sz w:val="22"/>
        </w:rPr>
        <w:t xml:space="preserve">CDW heads into Q2 2026 with unusually strong near-term visibility: management explicitly guided for </w:t>
      </w:r>
      <w:r>
        <w:rPr>
          <w:rFonts w:ascii="Calibri" w:hAnsi="Calibri"/>
          <w:b/>
          <w:color w:val="525866"/>
          <w:sz w:val="22"/>
        </w:rPr>
        <w:t>non-GAAP EPS up high single digits year-over-year and gross profit up mid-single digits year-over-year</w:t>
      </w:r>
      <w:r>
        <w:rPr>
          <w:rFonts w:ascii="Calibri" w:hAnsi="Calibri"/>
          <w:color w:val="525866"/>
          <w:sz w:val="22"/>
        </w:rPr>
        <w:t>, underpinned by a record backlog entering the quarter that exceeded the Q1 pull-forward amount. Consensus sits at $2.80 non-GAAP EPS on ~$6.25B revenue, broadly in line with guidance, leaving the debate squarely on whether gross margin can inflect — management flagged Q2 as the inflection point for 'Geared for Growth' savings to begin flowing and for netted-down revenues and services to rebalance toward a more typical mix after Q1’s infrastructure-heavy skew. The stock has re-rated aggressively since the Q1 print (up ~41% vs. XLK +10%, SPY +5%), compressing the margin of safety and pricing in a clean beat; the forward P/E has moved from the mid-teens toward the high teens, still below the historical median above 20x but no longer a clear value. Peer read-throughs are broadly supportive — Dell, HPE, and NTAP all flagged unprecedented infrastructure demand, supply-constrained environments, and strong storage/server order momentum — while IBM’s Q2 miss (large CapEx deals deferred as clients redirected budgets to hardware amid price inflation) is the key wildcard: if CDW’s enterprise customers similarly front-loaded hardware spend in Q1 and pulled back in Q2, the revenue and gross profit beat could disappoint relative to the elevated stock price.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broadly aligned with management’s own guidance — but </w:t>
      </w:r>
      <w:r>
        <w:rPr>
          <w:rFonts w:ascii="Calibri" w:hAnsi="Calibri"/>
          <w:b/>
          <w:color w:val="525866"/>
          <w:sz w:val="22"/>
        </w:rPr>
        <w:t>gross profit growth and gross margin trajectory are the bigger swing factor</w:t>
      </w:r>
      <w:r>
        <w:rPr>
          <w:rFonts w:ascii="Calibri" w:hAnsi="Calibri"/>
          <w:color w:val="525866"/>
          <w:sz w:val="22"/>
        </w:rPr>
        <w:t xml:space="preserve"> given the stock’s re-rating; a revenue beat without margin improvement is unlikely to satisfy the market.</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(Q2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($B)</w:t>
            </w:r>
          </w:p>
        </w:tc>
        <w:tc>
          <w:tcPr>
            <w:tcW w:type="dxa" w:w="1234"/>
          </w:tcPr>
          <w:p>
            <w:r>
              <w:rPr>
                <w:rFonts w:ascii="Calibri" w:hAnsi="Calibri"/>
                <w:sz w:val="22"/>
              </w:rPr>
              <w:t>$5.68B</w:t>
            </w:r>
          </w:p>
        </w:tc>
        <w:tc>
          <w:tcPr>
            <w:tcW w:type="dxa" w:w="1234"/>
          </w:tcPr>
          <w:p>
            <w:r>
              <w:rPr>
                <w:rFonts w:ascii="Calibri" w:hAnsi="Calibri"/>
                <w:sz w:val="22"/>
              </w:rPr>
              <w:t>$5.98B</w:t>
            </w:r>
          </w:p>
        </w:tc>
        <w:tc>
          <w:tcPr>
            <w:tcW w:type="dxa" w:w="1234"/>
          </w:tcPr>
          <w:p>
            <w:r>
              <w:rPr>
                <w:rFonts w:ascii="Calibri" w:hAnsi="Calibri"/>
                <w:sz w:val="22"/>
              </w:rPr>
              <w:t>$6.25B</w:t>
            </w:r>
          </w:p>
        </w:tc>
        <w:tc>
          <w:tcPr>
            <w:tcW w:type="dxa" w:w="1234"/>
          </w:tcPr>
          <w:p>
            <w:r>
              <w:rPr>
                <w:rFonts w:ascii="Calibri" w:hAnsi="Calibri"/>
                <w:sz w:val="22"/>
              </w:rPr>
              <w:t>+4.6%</w:t>
            </w:r>
          </w:p>
        </w:tc>
        <w:tc>
          <w:tcPr>
            <w:tcW w:type="dxa" w:w="1234"/>
          </w:tcPr>
          <w:p>
            <w:r>
              <w:rPr>
                <w:rFonts w:ascii="Calibri" w:hAnsi="Calibri"/>
                <w:sz w:val="22"/>
              </w:rPr>
              <w:t>Low-single-digit US IT market growth + 200-300bps outperformance (no specific $ guidance)</w:t>
            </w:r>
          </w:p>
        </w:tc>
        <w:tc>
          <w:tcPr>
            <w:tcW w:type="dxa" w:w="1234"/>
          </w:tcPr>
          <w:p>
            <w:r>
              <w:rPr>
                <w:rFonts w:ascii="Calibri" w:hAnsi="Calibri"/>
                <w:sz w:val="22"/>
              </w:rPr>
              <w:t>N/A (no $ guidance)</w:t>
            </w:r>
          </w:p>
        </w:tc>
      </w:tr>
      <w:tr>
        <w:tc>
          <w:tcPr>
            <w:tcW w:type="dxa" w:w="1234"/>
          </w:tcPr>
          <w:p>
            <w:r>
              <w:rPr>
                <w:rFonts w:ascii="Calibri" w:hAnsi="Calibri"/>
                <w:sz w:val="22"/>
              </w:rPr>
              <w:t>Gross Profit ($B)</w:t>
            </w:r>
          </w:p>
        </w:tc>
        <w:tc>
          <w:tcPr>
            <w:tcW w:type="dxa" w:w="1234"/>
          </w:tcPr>
          <w:p>
            <w:r>
              <w:rPr>
                <w:rFonts w:ascii="Calibri" w:hAnsi="Calibri"/>
                <w:sz w:val="22"/>
              </w:rPr>
              <w:t>$1.19B</w:t>
            </w:r>
          </w:p>
        </w:tc>
        <w:tc>
          <w:tcPr>
            <w:tcW w:type="dxa" w:w="1234"/>
          </w:tcPr>
          <w:p>
            <w:r>
              <w:rPr>
                <w:rFonts w:ascii="Calibri" w:hAnsi="Calibri"/>
                <w:sz w:val="22"/>
              </w:rPr>
              <w:t>$1.24B</w:t>
            </w:r>
          </w:p>
        </w:tc>
        <w:tc>
          <w:tcPr>
            <w:tcW w:type="dxa" w:w="1234"/>
          </w:tcPr>
          <w:p>
            <w:r>
              <w:rPr>
                <w:rFonts w:ascii="Calibri" w:hAnsi="Calibri"/>
                <w:sz w:val="22"/>
              </w:rPr>
              <w:t>$1.31B</w:t>
            </w:r>
          </w:p>
        </w:tc>
        <w:tc>
          <w:tcPr>
            <w:tcW w:type="dxa" w:w="1234"/>
          </w:tcPr>
          <w:p>
            <w:r>
              <w:rPr>
                <w:rFonts w:ascii="Calibri" w:hAnsi="Calibri"/>
                <w:sz w:val="22"/>
              </w:rPr>
              <w:t>+5.5%</w:t>
            </w:r>
          </w:p>
        </w:tc>
        <w:tc>
          <w:tcPr>
            <w:tcW w:type="dxa" w:w="1234"/>
          </w:tcPr>
          <w:p>
            <w:r>
              <w:rPr>
                <w:rFonts w:ascii="Calibri" w:hAnsi="Calibri"/>
                <w:sz w:val="22"/>
              </w:rPr>
              <w:t>Mid-single-digit YoY growth; high-single-digit sequential growth from Q1</w:t>
            </w:r>
          </w:p>
        </w:tc>
        <w:tc>
          <w:tcPr>
            <w:tcW w:type="dxa" w:w="1234"/>
          </w:tcPr>
          <w:p>
            <w:r>
              <w:rPr>
                <w:rFonts w:ascii="Calibri" w:hAnsi="Calibri"/>
                <w:sz w:val="22"/>
              </w:rPr>
              <w:t>~In line with guidance midpoint</w:t>
            </w:r>
          </w:p>
        </w:tc>
      </w:tr>
      <w:tr>
        <w:tc>
          <w:tcPr>
            <w:tcW w:type="dxa" w:w="1234"/>
          </w:tcPr>
          <w:p>
            <w:r>
              <w:rPr>
                <w:rFonts w:ascii="Calibri" w:hAnsi="Calibri"/>
                <w:sz w:val="22"/>
              </w:rPr>
              <w:t>Non-GAAP EPS (Diluted)</w:t>
            </w:r>
          </w:p>
        </w:tc>
        <w:tc>
          <w:tcPr>
            <w:tcW w:type="dxa" w:w="1234"/>
          </w:tcPr>
          <w:p>
            <w:r>
              <w:rPr>
                <w:rFonts w:ascii="Calibri" w:hAnsi="Calibri"/>
                <w:sz w:val="22"/>
              </w:rPr>
              <w:t>$2.28</w:t>
            </w:r>
          </w:p>
        </w:tc>
        <w:tc>
          <w:tcPr>
            <w:tcW w:type="dxa" w:w="1234"/>
          </w:tcPr>
          <w:p>
            <w:r>
              <w:rPr>
                <w:rFonts w:ascii="Calibri" w:hAnsi="Calibri"/>
                <w:sz w:val="22"/>
              </w:rPr>
              <w:t>$2.60</w:t>
            </w:r>
          </w:p>
        </w:tc>
        <w:tc>
          <w:tcPr>
            <w:tcW w:type="dxa" w:w="1234"/>
          </w:tcPr>
          <w:p>
            <w:r>
              <w:rPr>
                <w:rFonts w:ascii="Calibri" w:hAnsi="Calibri"/>
                <w:sz w:val="22"/>
              </w:rPr>
              <w:t>$2.80</w:t>
            </w:r>
          </w:p>
        </w:tc>
        <w:tc>
          <w:tcPr>
            <w:tcW w:type="dxa" w:w="1234"/>
          </w:tcPr>
          <w:p>
            <w:r>
              <w:rPr>
                <w:rFonts w:ascii="Calibri" w:hAnsi="Calibri"/>
                <w:sz w:val="22"/>
              </w:rPr>
              <w:t>+7.7%</w:t>
            </w:r>
          </w:p>
        </w:tc>
        <w:tc>
          <w:tcPr>
            <w:tcW w:type="dxa" w:w="1234"/>
          </w:tcPr>
          <w:p>
            <w:r>
              <w:rPr>
                <w:rFonts w:ascii="Calibri" w:hAnsi="Calibri"/>
                <w:sz w:val="22"/>
              </w:rPr>
              <w:t>Up high single digits YoY</w:t>
            </w:r>
          </w:p>
        </w:tc>
        <w:tc>
          <w:tcPr>
            <w:tcW w:type="dxa" w:w="1234"/>
          </w:tcPr>
          <w:p>
            <w:r>
              <w:rPr>
                <w:rFonts w:ascii="Calibri" w:hAnsi="Calibri"/>
                <w:sz w:val="22"/>
              </w:rPr>
              <w:t>~In line with guidance</w:t>
            </w:r>
          </w:p>
        </w:tc>
      </w:tr>
      <w:tr>
        <w:tc>
          <w:tcPr>
            <w:tcW w:type="dxa" w:w="1234"/>
          </w:tcPr>
          <w:p>
            <w:r>
              <w:rPr>
                <w:rFonts w:ascii="Calibri" w:hAnsi="Calibri"/>
                <w:sz w:val="22"/>
              </w:rPr>
              <w:t>Services Revenue ($M)</w:t>
            </w:r>
          </w:p>
        </w:tc>
        <w:tc>
          <w:tcPr>
            <w:tcW w:type="dxa" w:w="1234"/>
          </w:tcPr>
          <w:p>
            <w:r>
              <w:rPr>
                <w:rFonts w:ascii="Calibri" w:hAnsi="Calibri"/>
                <w:sz w:val="22"/>
              </w:rPr>
              <w:t>$480.5M</w:t>
            </w:r>
          </w:p>
        </w:tc>
        <w:tc>
          <w:tcPr>
            <w:tcW w:type="dxa" w:w="1234"/>
          </w:tcPr>
          <w:p>
            <w:r>
              <w:rPr>
                <w:rFonts w:ascii="Calibri" w:hAnsi="Calibri"/>
                <w:sz w:val="22"/>
              </w:rPr>
              <w:t>$515.2M</w:t>
            </w:r>
          </w:p>
        </w:tc>
        <w:tc>
          <w:tcPr>
            <w:tcW w:type="dxa" w:w="1234"/>
          </w:tcPr>
          <w:p>
            <w:r>
              <w:rPr>
                <w:rFonts w:ascii="Calibri" w:hAnsi="Calibri"/>
                <w:sz w:val="22"/>
              </w:rPr>
              <w:t>$542.8M</w:t>
            </w:r>
          </w:p>
        </w:tc>
        <w:tc>
          <w:tcPr>
            <w:tcW w:type="dxa" w:w="1234"/>
          </w:tcPr>
          <w:p>
            <w:r>
              <w:rPr>
                <w:rFonts w:ascii="Calibri" w:hAnsi="Calibri"/>
                <w:sz w:val="22"/>
              </w:rPr>
              <w:t>+5.4%</w:t>
            </w:r>
          </w:p>
        </w:tc>
        <w:tc>
          <w:tcPr>
            <w:tcW w:type="dxa" w:w="1234"/>
          </w:tcPr>
          <w:p>
            <w:r>
              <w:rPr>
                <w:rFonts w:ascii="Calibri" w:hAnsi="Calibri"/>
                <w:sz w:val="22"/>
              </w:rPr>
              <w:t>Reacceleration expected as hardware urgency normalizes; no specific $ guidance</w:t>
            </w:r>
          </w:p>
        </w:tc>
        <w:tc>
          <w:tcPr>
            <w:tcW w:type="dxa" w:w="1234"/>
          </w:tcPr>
          <w:p>
            <w:r>
              <w:rPr>
                <w:rFonts w:ascii="Calibri" w:hAnsi="Calibri"/>
                <w:sz w:val="22"/>
              </w:rPr>
              <w:t>N/A (no $ guidance)</w:t>
            </w:r>
          </w:p>
        </w:tc>
      </w:tr>
      <w:tr>
        <w:tc>
          <w:tcPr>
            <w:tcW w:type="dxa" w:w="1234"/>
          </w:tcPr>
          <w:p>
            <w:r>
              <w:rPr>
                <w:rFonts w:ascii="Calibri" w:hAnsi="Calibri"/>
                <w:sz w:val="22"/>
              </w:rPr>
              <w:t>Non-GAAP Operating Income ($M)</w:t>
            </w:r>
          </w:p>
        </w:tc>
        <w:tc>
          <w:tcPr>
            <w:tcW w:type="dxa" w:w="1234"/>
          </w:tcPr>
          <w:p>
            <w:r>
              <w:rPr>
                <w:rFonts w:ascii="Calibri" w:hAnsi="Calibri"/>
                <w:sz w:val="22"/>
              </w:rPr>
              <w:t>$451.9M</w:t>
            </w:r>
          </w:p>
        </w:tc>
        <w:tc>
          <w:tcPr>
            <w:tcW w:type="dxa" w:w="1234"/>
          </w:tcPr>
          <w:p>
            <w:r>
              <w:rPr>
                <w:rFonts w:ascii="Calibri" w:hAnsi="Calibri"/>
                <w:sz w:val="22"/>
              </w:rPr>
              <w:t>$519.7M</w:t>
            </w:r>
          </w:p>
        </w:tc>
        <w:tc>
          <w:tcPr>
            <w:tcW w:type="dxa" w:w="1234"/>
          </w:tcPr>
          <w:p>
            <w:r>
              <w:rPr>
                <w:rFonts w:ascii="Calibri" w:hAnsi="Calibri"/>
                <w:sz w:val="22"/>
              </w:rPr>
              <w:t>$546.1M</w:t>
            </w:r>
          </w:p>
        </w:tc>
        <w:tc>
          <w:tcPr>
            <w:tcW w:type="dxa" w:w="1234"/>
          </w:tcPr>
          <w:p>
            <w:r>
              <w:rPr>
                <w:rFonts w:ascii="Calibri" w:hAnsi="Calibri"/>
                <w:sz w:val="22"/>
              </w:rPr>
              <w:t>+5.1%</w:t>
            </w:r>
          </w:p>
        </w:tc>
        <w:tc>
          <w:tcPr>
            <w:tcW w:type="dxa" w:w="1234"/>
          </w:tcPr>
          <w:p>
            <w:r>
              <w:rPr>
                <w:rFonts w:ascii="Calibri" w:hAnsi="Calibri"/>
                <w:sz w:val="22"/>
              </w:rPr>
              <w:t>SG&amp;A modestly higher than Q1; OpEx as % of GP seasonally lower than Q1, similar to Q2 2025</w:t>
            </w:r>
          </w:p>
        </w:tc>
        <w:tc>
          <w:tcPr>
            <w:tcW w:type="dxa" w:w="1234"/>
          </w:tcPr>
          <w:p>
            <w:r>
              <w:rPr>
                <w:rFonts w:ascii="Calibri" w:hAnsi="Calibri"/>
                <w:sz w:val="22"/>
              </w:rPr>
              <w:t>~In line with guidance</w:t>
            </w:r>
          </w:p>
        </w:tc>
      </w:tr>
      <w:tr>
        <w:tc>
          <w:tcPr>
            <w:tcW w:type="dxa" w:w="1234"/>
          </w:tcPr>
          <w:p>
            <w:r>
              <w:rPr>
                <w:rFonts w:ascii="Calibri" w:hAnsi="Calibri"/>
                <w:sz w:val="22"/>
              </w:rPr>
              <w:t>Commercial Net Sales ($B)</w:t>
            </w:r>
          </w:p>
        </w:tc>
        <w:tc>
          <w:tcPr>
            <w:tcW w:type="dxa" w:w="1234"/>
          </w:tcPr>
          <w:p>
            <w:r>
              <w:rPr>
                <w:rFonts w:ascii="Calibri" w:hAnsi="Calibri"/>
                <w:sz w:val="22"/>
              </w:rPr>
              <w:t>$3.57B</w:t>
            </w:r>
          </w:p>
        </w:tc>
        <w:tc>
          <w:tcPr>
            <w:tcW w:type="dxa" w:w="1234"/>
          </w:tcPr>
          <w:p>
            <w:r>
              <w:rPr>
                <w:rFonts w:ascii="Calibri" w:hAnsi="Calibri"/>
                <w:sz w:val="22"/>
              </w:rPr>
              <w:t>$3.63B</w:t>
            </w:r>
          </w:p>
        </w:tc>
        <w:tc>
          <w:tcPr>
            <w:tcW w:type="dxa" w:w="1234"/>
          </w:tcPr>
          <w:p>
            <w:r>
              <w:rPr>
                <w:rFonts w:ascii="Calibri" w:hAnsi="Calibri"/>
                <w:sz w:val="22"/>
              </w:rPr>
              <w:t>$3.90B</w:t>
            </w:r>
          </w:p>
        </w:tc>
        <w:tc>
          <w:tcPr>
            <w:tcW w:type="dxa" w:w="1234"/>
          </w:tcPr>
          <w:p>
            <w:r>
              <w:rPr>
                <w:rFonts w:ascii="Calibri" w:hAnsi="Calibri"/>
                <w:sz w:val="22"/>
              </w:rPr>
              <w:t>+7.4%</w:t>
            </w:r>
          </w:p>
        </w:tc>
        <w:tc>
          <w:tcPr>
            <w:tcW w:type="dxa" w:w="1234"/>
          </w:tcPr>
          <w:p>
            <w:r>
              <w:rPr>
                <w:rFonts w:ascii="Calibri" w:hAnsi="Calibri"/>
                <w:sz w:val="22"/>
              </w:rPr>
              <w:t>No segment-specific guidance</w:t>
            </w:r>
          </w:p>
        </w:tc>
        <w:tc>
          <w:tcPr>
            <w:tcW w:type="dxa" w:w="1234"/>
          </w:tcPr>
          <w:p>
            <w:r>
              <w:rPr>
                <w:rFonts w:ascii="Calibri" w:hAnsi="Calibri"/>
                <w:sz w:val="22"/>
              </w:rPr>
              <w:t>N/A</w:t>
            </w:r>
          </w:p>
        </w:tc>
      </w:tr>
      <w:tr>
        <w:tc>
          <w:tcPr>
            <w:tcW w:type="dxa" w:w="1234"/>
          </w:tcPr>
          <w:p>
            <w:r>
              <w:rPr>
                <w:rFonts w:ascii="Calibri" w:hAnsi="Calibri"/>
                <w:sz w:val="22"/>
              </w:rPr>
              <w:t>Public Net Sales ($B)</w:t>
            </w:r>
          </w:p>
        </w:tc>
        <w:tc>
          <w:tcPr>
            <w:tcW w:type="dxa" w:w="1234"/>
          </w:tcPr>
          <w:p>
            <w:r>
              <w:rPr>
                <w:rFonts w:ascii="Calibri" w:hAnsi="Calibri"/>
                <w:sz w:val="22"/>
              </w:rPr>
              <w:t>$2.07B</w:t>
            </w:r>
          </w:p>
        </w:tc>
        <w:tc>
          <w:tcPr>
            <w:tcW w:type="dxa" w:w="1234"/>
          </w:tcPr>
          <w:p>
            <w:r>
              <w:rPr>
                <w:rFonts w:ascii="Calibri" w:hAnsi="Calibri"/>
                <w:sz w:val="22"/>
              </w:rPr>
              <w:t>$2.29B</w:t>
            </w:r>
          </w:p>
        </w:tc>
        <w:tc>
          <w:tcPr>
            <w:tcW w:type="dxa" w:w="1234"/>
          </w:tcPr>
          <w:p>
            <w:r>
              <w:rPr>
                <w:rFonts w:ascii="Calibri" w:hAnsi="Calibri"/>
                <w:sz w:val="22"/>
              </w:rPr>
              <w:t>$2.34B</w:t>
            </w:r>
          </w:p>
        </w:tc>
        <w:tc>
          <w:tcPr>
            <w:tcW w:type="dxa" w:w="1234"/>
          </w:tcPr>
          <w:p>
            <w:r>
              <w:rPr>
                <w:rFonts w:ascii="Calibri" w:hAnsi="Calibri"/>
                <w:sz w:val="22"/>
              </w:rPr>
              <w:t>+2.2%</w:t>
            </w:r>
          </w:p>
        </w:tc>
        <w:tc>
          <w:tcPr>
            <w:tcW w:type="dxa" w:w="1234"/>
          </w:tcPr>
          <w:p>
            <w:r>
              <w:rPr>
                <w:rFonts w:ascii="Calibri" w:hAnsi="Calibri"/>
                <w:sz w:val="22"/>
              </w:rPr>
              <w:t>No segment-specific guidance</w:t>
            </w:r>
          </w:p>
        </w:tc>
        <w:tc>
          <w:tcPr>
            <w:tcW w:type="dxa" w:w="1234"/>
          </w:tcPr>
          <w:p>
            <w:r>
              <w:rPr>
                <w:rFonts w:ascii="Calibri" w:hAnsi="Calibri"/>
                <w:sz w:val="22"/>
              </w:rPr>
              <w:t>N/A</w:t>
            </w:r>
          </w:p>
        </w:tc>
      </w:tr>
    </w:tbl>
    <w:p>
      <w:r>
        <w:rPr>
          <w:rFonts w:ascii="Calibri" w:hAnsi="Calibri"/>
          <w:i/>
          <w:color w:val="525866"/>
          <w:sz w:val="22"/>
        </w:rPr>
        <w:t>Sources: Visible Alpha Consensus and Actuals Data; CDW Q1 2026 Earnings Call Transcript (May 6, 2026).</w:t>
      </w:r>
    </w:p>
    <w:p>
      <w:pPr>
        <w:pStyle w:val="Heading3"/>
      </w:pPr>
      <w:r>
        <w:rPr>
          <w:rFonts w:ascii="Calibri" w:hAnsi="Calibri"/>
          <w:b/>
          <w:color w:val="3B4259"/>
          <w:sz w:val="24"/>
        </w:rPr>
        <w:t>Table 2 — Beat/Miss History (Last 8 Quarters) — Top 2 KPIs: Net Sales &amp; Non-GAAP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Net Sales</w:t>
            </w:r>
          </w:p>
        </w:tc>
        <w:tc>
          <w:tcPr>
            <w:tcW w:type="dxa" w:w="1440"/>
          </w:tcPr>
          <w:p>
            <w:r>
              <w:rPr>
                <w:rFonts w:ascii="Calibri" w:hAnsi="Calibri"/>
                <w:sz w:val="22"/>
              </w:rPr>
              <w:t>$5.68B</w:t>
            </w:r>
          </w:p>
        </w:tc>
        <w:tc>
          <w:tcPr>
            <w:tcW w:type="dxa" w:w="1440"/>
          </w:tcPr>
          <w:p>
            <w:r>
              <w:rPr>
                <w:rFonts w:ascii="Calibri" w:hAnsi="Calibri"/>
                <w:sz w:val="22"/>
              </w:rPr>
              <w:t>$5.47B</w:t>
            </w:r>
          </w:p>
        </w:tc>
        <w:tc>
          <w:tcPr>
            <w:tcW w:type="dxa" w:w="1440"/>
          </w:tcPr>
          <w:p>
            <w:r>
              <w:rPr>
                <w:rFonts w:ascii="Calibri" w:hAnsi="Calibri"/>
                <w:b/>
                <w:color w:val="30A46C"/>
                <w:sz w:val="22"/>
              </w:rPr>
              <w:t>+3.8%</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Non-GAAP EPS</w:t>
            </w:r>
          </w:p>
        </w:tc>
        <w:tc>
          <w:tcPr>
            <w:tcW w:type="dxa" w:w="1440"/>
          </w:tcPr>
          <w:p>
            <w:r>
              <w:rPr>
                <w:rFonts w:ascii="Calibri" w:hAnsi="Calibri"/>
                <w:sz w:val="22"/>
              </w:rPr>
              <w:t>$2.28</w:t>
            </w:r>
          </w:p>
        </w:tc>
        <w:tc>
          <w:tcPr>
            <w:tcW w:type="dxa" w:w="1440"/>
          </w:tcPr>
          <w:p>
            <w:r>
              <w:rPr>
                <w:rFonts w:ascii="Calibri" w:hAnsi="Calibri"/>
                <w:sz w:val="22"/>
              </w:rPr>
              <w:t>$2.29</w:t>
            </w:r>
          </w:p>
        </w:tc>
        <w:tc>
          <w:tcPr>
            <w:tcW w:type="dxa" w:w="1440"/>
          </w:tcPr>
          <w:p>
            <w:r>
              <w:rPr>
                <w:rFonts w:ascii="Calibri" w:hAnsi="Calibri"/>
                <w:b/>
                <w:color w:val="E5484D"/>
                <w:sz w:val="22"/>
              </w:rPr>
              <w:t>-0.4%</w:t>
            </w:r>
          </w:p>
        </w:tc>
        <w:tc>
          <w:tcPr>
            <w:tcW w:type="dxa" w:w="1440"/>
          </w:tcPr>
          <w:p>
            <w:r>
              <w:rPr>
                <w:rFonts w:ascii="Calibri" w:hAnsi="Calibri"/>
                <w:sz w:val="22"/>
              </w:rPr>
              <w:t>In Line / Slight Miss</w:t>
            </w:r>
          </w:p>
        </w:tc>
      </w:tr>
      <w:tr>
        <w:tc>
          <w:tcPr>
            <w:tcW w:type="dxa" w:w="1440"/>
          </w:tcPr>
          <w:p>
            <w:r>
              <w:rPr>
                <w:rFonts w:ascii="Calibri" w:hAnsi="Calibri"/>
                <w:sz w:val="22"/>
              </w:rPr>
              <w:t>Q4 2025</w:t>
            </w:r>
          </w:p>
        </w:tc>
        <w:tc>
          <w:tcPr>
            <w:tcW w:type="dxa" w:w="1440"/>
          </w:tcPr>
          <w:p>
            <w:r>
              <w:rPr>
                <w:rFonts w:ascii="Calibri" w:hAnsi="Calibri"/>
                <w:sz w:val="22"/>
              </w:rPr>
              <w:t>Net Sales</w:t>
            </w:r>
          </w:p>
        </w:tc>
        <w:tc>
          <w:tcPr>
            <w:tcW w:type="dxa" w:w="1440"/>
          </w:tcPr>
          <w:p>
            <w:r>
              <w:rPr>
                <w:rFonts w:ascii="Calibri" w:hAnsi="Calibri"/>
                <w:sz w:val="22"/>
              </w:rPr>
              <w:t>$5.51B</w:t>
            </w:r>
          </w:p>
        </w:tc>
        <w:tc>
          <w:tcPr>
            <w:tcW w:type="dxa" w:w="1440"/>
          </w:tcPr>
          <w:p>
            <w:r>
              <w:rPr>
                <w:rFonts w:ascii="Calibri" w:hAnsi="Calibri"/>
                <w:sz w:val="22"/>
              </w:rPr>
              <w:t>$5.34B</w:t>
            </w:r>
          </w:p>
        </w:tc>
        <w:tc>
          <w:tcPr>
            <w:tcW w:type="dxa" w:w="1440"/>
          </w:tcPr>
          <w:p>
            <w:r>
              <w:rPr>
                <w:rFonts w:ascii="Calibri" w:hAnsi="Calibri"/>
                <w:b/>
                <w:color w:val="30A46C"/>
                <w:sz w:val="22"/>
              </w:rPr>
              <w:t>+3.2%</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Non-GAAP EPS</w:t>
            </w:r>
          </w:p>
        </w:tc>
        <w:tc>
          <w:tcPr>
            <w:tcW w:type="dxa" w:w="1440"/>
          </w:tcPr>
          <w:p>
            <w:r>
              <w:rPr>
                <w:rFonts w:ascii="Calibri" w:hAnsi="Calibri"/>
                <w:sz w:val="22"/>
              </w:rPr>
              <w:t>$2.57</w:t>
            </w:r>
          </w:p>
        </w:tc>
        <w:tc>
          <w:tcPr>
            <w:tcW w:type="dxa" w:w="1440"/>
          </w:tcPr>
          <w:p>
            <w:r>
              <w:rPr>
                <w:rFonts w:ascii="Calibri" w:hAnsi="Calibri"/>
                <w:sz w:val="22"/>
              </w:rPr>
              <w:t>$2.45</w:t>
            </w:r>
          </w:p>
        </w:tc>
        <w:tc>
          <w:tcPr>
            <w:tcW w:type="dxa" w:w="1440"/>
          </w:tcPr>
          <w:p>
            <w:r>
              <w:rPr>
                <w:rFonts w:ascii="Calibri" w:hAnsi="Calibri"/>
                <w:b/>
                <w:color w:val="30A46C"/>
                <w:sz w:val="22"/>
              </w:rPr>
              <w:t>+4.9%</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Net Sales</w:t>
            </w:r>
          </w:p>
        </w:tc>
        <w:tc>
          <w:tcPr>
            <w:tcW w:type="dxa" w:w="1440"/>
          </w:tcPr>
          <w:p>
            <w:r>
              <w:rPr>
                <w:rFonts w:ascii="Calibri" w:hAnsi="Calibri"/>
                <w:sz w:val="22"/>
              </w:rPr>
              <w:t>$5.74B</w:t>
            </w:r>
          </w:p>
        </w:tc>
        <w:tc>
          <w:tcPr>
            <w:tcW w:type="dxa" w:w="1440"/>
          </w:tcPr>
          <w:p>
            <w:r>
              <w:rPr>
                <w:rFonts w:ascii="Calibri" w:hAnsi="Calibri"/>
                <w:sz w:val="22"/>
              </w:rPr>
              <w:t>$5.75B</w:t>
            </w:r>
          </w:p>
        </w:tc>
        <w:tc>
          <w:tcPr>
            <w:tcW w:type="dxa" w:w="1440"/>
          </w:tcPr>
          <w:p>
            <w:r>
              <w:rPr>
                <w:rFonts w:ascii="Calibri" w:hAnsi="Calibri"/>
                <w:b/>
                <w:color w:val="E5484D"/>
                <w:sz w:val="22"/>
              </w:rPr>
              <w:t>-0.2%</w:t>
            </w:r>
          </w:p>
        </w:tc>
        <w:tc>
          <w:tcPr>
            <w:tcW w:type="dxa" w:w="1440"/>
          </w:tcPr>
          <w:p>
            <w:r>
              <w:rPr>
                <w:rFonts w:ascii="Calibri" w:hAnsi="Calibri"/>
                <w:sz w:val="22"/>
              </w:rPr>
              <w:t>In Line / Slight Miss</w:t>
            </w:r>
          </w:p>
        </w:tc>
      </w:tr>
      <w:tr>
        <w:tc>
          <w:tcPr>
            <w:tcW w:type="dxa" w:w="1440"/>
          </w:tcPr>
          <w:p>
            <w:r>
              <w:rPr>
                <w:rFonts w:ascii="Calibri" w:hAnsi="Calibri"/>
                <w:sz w:val="22"/>
              </w:rPr>
              <w:t>Q3 2025</w:t>
            </w:r>
          </w:p>
        </w:tc>
        <w:tc>
          <w:tcPr>
            <w:tcW w:type="dxa" w:w="1440"/>
          </w:tcPr>
          <w:p>
            <w:r>
              <w:rPr>
                <w:rFonts w:ascii="Calibri" w:hAnsi="Calibri"/>
                <w:sz w:val="22"/>
              </w:rPr>
              <w:t>Non-GAAP EPS</w:t>
            </w:r>
          </w:p>
        </w:tc>
        <w:tc>
          <w:tcPr>
            <w:tcW w:type="dxa" w:w="1440"/>
          </w:tcPr>
          <w:p>
            <w:r>
              <w:rPr>
                <w:rFonts w:ascii="Calibri" w:hAnsi="Calibri"/>
                <w:sz w:val="22"/>
              </w:rPr>
              <w:t>$2.71</w:t>
            </w:r>
          </w:p>
        </w:tc>
        <w:tc>
          <w:tcPr>
            <w:tcW w:type="dxa" w:w="1440"/>
          </w:tcPr>
          <w:p>
            <w:r>
              <w:rPr>
                <w:rFonts w:ascii="Calibri" w:hAnsi="Calibri"/>
                <w:sz w:val="22"/>
              </w:rPr>
              <w:t>$2.66</w:t>
            </w:r>
          </w:p>
        </w:tc>
        <w:tc>
          <w:tcPr>
            <w:tcW w:type="dxa" w:w="1440"/>
          </w:tcPr>
          <w:p>
            <w:r>
              <w:rPr>
                <w:rFonts w:ascii="Calibri" w:hAnsi="Calibri"/>
                <w:b/>
                <w:color w:val="30A46C"/>
                <w:sz w:val="22"/>
              </w:rPr>
              <w:t>+1.9%</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Net Sales</w:t>
            </w:r>
          </w:p>
        </w:tc>
        <w:tc>
          <w:tcPr>
            <w:tcW w:type="dxa" w:w="1440"/>
          </w:tcPr>
          <w:p>
            <w:r>
              <w:rPr>
                <w:rFonts w:ascii="Calibri" w:hAnsi="Calibri"/>
                <w:sz w:val="22"/>
              </w:rPr>
              <w:t>$5.98B</w:t>
            </w:r>
          </w:p>
        </w:tc>
        <w:tc>
          <w:tcPr>
            <w:tcW w:type="dxa" w:w="1440"/>
          </w:tcPr>
          <w:p>
            <w:r>
              <w:rPr>
                <w:rFonts w:ascii="Calibri" w:hAnsi="Calibri"/>
                <w:sz w:val="22"/>
              </w:rPr>
              <w:t>$5.55B</w:t>
            </w:r>
          </w:p>
        </w:tc>
        <w:tc>
          <w:tcPr>
            <w:tcW w:type="dxa" w:w="1440"/>
          </w:tcPr>
          <w:p>
            <w:r>
              <w:rPr>
                <w:rFonts w:ascii="Calibri" w:hAnsi="Calibri"/>
                <w:b/>
                <w:color w:val="30A46C"/>
                <w:sz w:val="22"/>
              </w:rPr>
              <w:t>+7.8%</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Non-GAAP EPS</w:t>
            </w:r>
          </w:p>
        </w:tc>
        <w:tc>
          <w:tcPr>
            <w:tcW w:type="dxa" w:w="1440"/>
          </w:tcPr>
          <w:p>
            <w:r>
              <w:rPr>
                <w:rFonts w:ascii="Calibri" w:hAnsi="Calibri"/>
                <w:sz w:val="22"/>
              </w:rPr>
              <w:t>$2.60</w:t>
            </w:r>
          </w:p>
        </w:tc>
        <w:tc>
          <w:tcPr>
            <w:tcW w:type="dxa" w:w="1440"/>
          </w:tcPr>
          <w:p>
            <w:r>
              <w:rPr>
                <w:rFonts w:ascii="Calibri" w:hAnsi="Calibri"/>
                <w:sz w:val="22"/>
              </w:rPr>
              <w:t>$2.51</w:t>
            </w:r>
          </w:p>
        </w:tc>
        <w:tc>
          <w:tcPr>
            <w:tcW w:type="dxa" w:w="1440"/>
          </w:tcPr>
          <w:p>
            <w:r>
              <w:rPr>
                <w:rFonts w:ascii="Calibri" w:hAnsi="Calibri"/>
                <w:b/>
                <w:color w:val="30A46C"/>
                <w:sz w:val="22"/>
              </w:rPr>
              <w:t>+3.6%</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Net Sales</w:t>
            </w:r>
          </w:p>
        </w:tc>
        <w:tc>
          <w:tcPr>
            <w:tcW w:type="dxa" w:w="1440"/>
          </w:tcPr>
          <w:p>
            <w:r>
              <w:rPr>
                <w:rFonts w:ascii="Calibri" w:hAnsi="Calibri"/>
                <w:sz w:val="22"/>
              </w:rPr>
              <w:t>$5.20B</w:t>
            </w:r>
          </w:p>
        </w:tc>
        <w:tc>
          <w:tcPr>
            <w:tcW w:type="dxa" w:w="1440"/>
          </w:tcPr>
          <w:p>
            <w:r>
              <w:rPr>
                <w:rFonts w:ascii="Calibri" w:hAnsi="Calibri"/>
                <w:sz w:val="22"/>
              </w:rPr>
              <w:t>$4.94B</w:t>
            </w:r>
          </w:p>
        </w:tc>
        <w:tc>
          <w:tcPr>
            <w:tcW w:type="dxa" w:w="1440"/>
          </w:tcPr>
          <w:p>
            <w:r>
              <w:rPr>
                <w:rFonts w:ascii="Calibri" w:hAnsi="Calibri"/>
                <w:b/>
                <w:color w:val="30A46C"/>
                <w:sz w:val="22"/>
              </w:rPr>
              <w:t>+5.3%</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Non-GAAP EPS</w:t>
            </w:r>
          </w:p>
        </w:tc>
        <w:tc>
          <w:tcPr>
            <w:tcW w:type="dxa" w:w="1440"/>
          </w:tcPr>
          <w:p>
            <w:r>
              <w:rPr>
                <w:rFonts w:ascii="Calibri" w:hAnsi="Calibri"/>
                <w:sz w:val="22"/>
              </w:rPr>
              <w:t>$2.15</w:t>
            </w:r>
          </w:p>
        </w:tc>
        <w:tc>
          <w:tcPr>
            <w:tcW w:type="dxa" w:w="1440"/>
          </w:tcPr>
          <w:p>
            <w:r>
              <w:rPr>
                <w:rFonts w:ascii="Calibri" w:hAnsi="Calibri"/>
                <w:sz w:val="22"/>
              </w:rPr>
              <w:t>$1.97</w:t>
            </w:r>
          </w:p>
        </w:tc>
        <w:tc>
          <w:tcPr>
            <w:tcW w:type="dxa" w:w="1440"/>
          </w:tcPr>
          <w:p>
            <w:r>
              <w:rPr>
                <w:rFonts w:ascii="Calibri" w:hAnsi="Calibri"/>
                <w:b/>
                <w:color w:val="30A46C"/>
                <w:sz w:val="22"/>
              </w:rPr>
              <w:t>+9.1%</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Net Sales</w:t>
            </w:r>
          </w:p>
        </w:tc>
        <w:tc>
          <w:tcPr>
            <w:tcW w:type="dxa" w:w="1440"/>
          </w:tcPr>
          <w:p>
            <w:r>
              <w:rPr>
                <w:rFonts w:ascii="Calibri" w:hAnsi="Calibri"/>
                <w:sz w:val="22"/>
              </w:rPr>
              <w:t>$5.19B</w:t>
            </w:r>
          </w:p>
        </w:tc>
        <w:tc>
          <w:tcPr>
            <w:tcW w:type="dxa" w:w="1440"/>
          </w:tcPr>
          <w:p>
            <w:r>
              <w:rPr>
                <w:rFonts w:ascii="Calibri" w:hAnsi="Calibri"/>
                <w:sz w:val="22"/>
              </w:rPr>
              <w:t>$5.04B</w:t>
            </w:r>
          </w:p>
        </w:tc>
        <w:tc>
          <w:tcPr>
            <w:tcW w:type="dxa" w:w="1440"/>
          </w:tcPr>
          <w:p>
            <w:r>
              <w:rPr>
                <w:rFonts w:ascii="Calibri" w:hAnsi="Calibri"/>
                <w:b/>
                <w:color w:val="30A46C"/>
                <w:sz w:val="22"/>
              </w:rPr>
              <w:t>+2.9%</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Non-GAAP EPS</w:t>
            </w:r>
          </w:p>
        </w:tc>
        <w:tc>
          <w:tcPr>
            <w:tcW w:type="dxa" w:w="1440"/>
          </w:tcPr>
          <w:p>
            <w:r>
              <w:rPr>
                <w:rFonts w:ascii="Calibri" w:hAnsi="Calibri"/>
                <w:sz w:val="22"/>
              </w:rPr>
              <w:t>$2.48</w:t>
            </w:r>
          </w:p>
        </w:tc>
        <w:tc>
          <w:tcPr>
            <w:tcW w:type="dxa" w:w="1440"/>
          </w:tcPr>
          <w:p>
            <w:r>
              <w:rPr>
                <w:rFonts w:ascii="Calibri" w:hAnsi="Calibri"/>
                <w:sz w:val="22"/>
              </w:rPr>
              <w:t>$2.32</w:t>
            </w:r>
          </w:p>
        </w:tc>
        <w:tc>
          <w:tcPr>
            <w:tcW w:type="dxa" w:w="1440"/>
          </w:tcPr>
          <w:p>
            <w:r>
              <w:rPr>
                <w:rFonts w:ascii="Calibri" w:hAnsi="Calibri"/>
                <w:b/>
                <w:color w:val="30A46C"/>
                <w:sz w:val="22"/>
              </w:rPr>
              <w:t>+6.9%</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Net Sales</w:t>
            </w:r>
          </w:p>
        </w:tc>
        <w:tc>
          <w:tcPr>
            <w:tcW w:type="dxa" w:w="1440"/>
          </w:tcPr>
          <w:p>
            <w:r>
              <w:rPr>
                <w:rFonts w:ascii="Calibri" w:hAnsi="Calibri"/>
                <w:sz w:val="22"/>
              </w:rPr>
              <w:t>$5.52B</w:t>
            </w:r>
          </w:p>
        </w:tc>
        <w:tc>
          <w:tcPr>
            <w:tcW w:type="dxa" w:w="1440"/>
          </w:tcPr>
          <w:p>
            <w:r>
              <w:rPr>
                <w:rFonts w:ascii="Calibri" w:hAnsi="Calibri"/>
                <w:sz w:val="22"/>
              </w:rPr>
              <w:t>$5.72B</w:t>
            </w:r>
          </w:p>
        </w:tc>
        <w:tc>
          <w:tcPr>
            <w:tcW w:type="dxa" w:w="1440"/>
          </w:tcPr>
          <w:p>
            <w:r>
              <w:rPr>
                <w:rFonts w:ascii="Calibri" w:hAnsi="Calibri"/>
                <w:b/>
                <w:color w:val="E5484D"/>
                <w:sz w:val="22"/>
              </w:rPr>
              <w:t>-3.5%</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Non-GAAP EPS</w:t>
            </w:r>
          </w:p>
        </w:tc>
        <w:tc>
          <w:tcPr>
            <w:tcW w:type="dxa" w:w="1440"/>
          </w:tcPr>
          <w:p>
            <w:r>
              <w:rPr>
                <w:rFonts w:ascii="Calibri" w:hAnsi="Calibri"/>
                <w:sz w:val="22"/>
              </w:rPr>
              <w:t>$2.63</w:t>
            </w:r>
          </w:p>
        </w:tc>
        <w:tc>
          <w:tcPr>
            <w:tcW w:type="dxa" w:w="1440"/>
          </w:tcPr>
          <w:p>
            <w:r>
              <w:rPr>
                <w:rFonts w:ascii="Calibri" w:hAnsi="Calibri"/>
                <w:sz w:val="22"/>
              </w:rPr>
              <w:t>$2.86</w:t>
            </w:r>
          </w:p>
        </w:tc>
        <w:tc>
          <w:tcPr>
            <w:tcW w:type="dxa" w:w="1440"/>
          </w:tcPr>
          <w:p>
            <w:r>
              <w:rPr>
                <w:rFonts w:ascii="Calibri" w:hAnsi="Calibri"/>
                <w:b/>
                <w:color w:val="E5484D"/>
                <w:sz w:val="22"/>
              </w:rPr>
              <w:t>-8.0%</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Net Sales</w:t>
            </w:r>
          </w:p>
        </w:tc>
        <w:tc>
          <w:tcPr>
            <w:tcW w:type="dxa" w:w="1440"/>
          </w:tcPr>
          <w:p>
            <w:r>
              <w:rPr>
                <w:rFonts w:ascii="Calibri" w:hAnsi="Calibri"/>
                <w:sz w:val="22"/>
              </w:rPr>
              <w:t>$5.42B</w:t>
            </w:r>
          </w:p>
        </w:tc>
        <w:tc>
          <w:tcPr>
            <w:tcW w:type="dxa" w:w="1440"/>
          </w:tcPr>
          <w:p>
            <w:r>
              <w:rPr>
                <w:rFonts w:ascii="Calibri" w:hAnsi="Calibri"/>
                <w:sz w:val="22"/>
              </w:rPr>
              <w:t>$5.44B</w:t>
            </w:r>
          </w:p>
        </w:tc>
        <w:tc>
          <w:tcPr>
            <w:tcW w:type="dxa" w:w="1440"/>
          </w:tcPr>
          <w:p>
            <w:r>
              <w:rPr>
                <w:rFonts w:ascii="Calibri" w:hAnsi="Calibri"/>
                <w:b/>
                <w:color w:val="E5484D"/>
                <w:sz w:val="22"/>
              </w:rPr>
              <w:t>-0.4%</w:t>
            </w:r>
          </w:p>
        </w:tc>
        <w:tc>
          <w:tcPr>
            <w:tcW w:type="dxa" w:w="1440"/>
          </w:tcPr>
          <w:p>
            <w:r>
              <w:rPr>
                <w:rFonts w:ascii="Calibri" w:hAnsi="Calibri"/>
                <w:sz w:val="22"/>
              </w:rPr>
              <w:t>In Line / Slight Miss</w:t>
            </w:r>
          </w:p>
        </w:tc>
      </w:tr>
      <w:tr>
        <w:tc>
          <w:tcPr>
            <w:tcW w:type="dxa" w:w="1440"/>
          </w:tcPr>
          <w:p>
            <w:r>
              <w:rPr>
                <w:rFonts w:ascii="Calibri" w:hAnsi="Calibri"/>
                <w:sz w:val="22"/>
              </w:rPr>
              <w:t>Q2 2024</w:t>
            </w:r>
          </w:p>
        </w:tc>
        <w:tc>
          <w:tcPr>
            <w:tcW w:type="dxa" w:w="1440"/>
          </w:tcPr>
          <w:p>
            <w:r>
              <w:rPr>
                <w:rFonts w:ascii="Calibri" w:hAnsi="Calibri"/>
                <w:sz w:val="22"/>
              </w:rPr>
              <w:t>Non-GAAP EPS</w:t>
            </w:r>
          </w:p>
        </w:tc>
        <w:tc>
          <w:tcPr>
            <w:tcW w:type="dxa" w:w="1440"/>
          </w:tcPr>
          <w:p>
            <w:r>
              <w:rPr>
                <w:rFonts w:ascii="Calibri" w:hAnsi="Calibri"/>
                <w:sz w:val="22"/>
              </w:rPr>
              <w:t>$2.50</w:t>
            </w:r>
          </w:p>
        </w:tc>
        <w:tc>
          <w:tcPr>
            <w:tcW w:type="dxa" w:w="1440"/>
          </w:tcPr>
          <w:p>
            <w:r>
              <w:rPr>
                <w:rFonts w:ascii="Calibri" w:hAnsi="Calibri"/>
                <w:sz w:val="22"/>
              </w:rPr>
              <w:t>$2.53</w:t>
            </w:r>
          </w:p>
        </w:tc>
        <w:tc>
          <w:tcPr>
            <w:tcW w:type="dxa" w:w="1440"/>
          </w:tcPr>
          <w:p>
            <w:r>
              <w:rPr>
                <w:rFonts w:ascii="Calibri" w:hAnsi="Calibri"/>
                <w:b/>
                <w:color w:val="E5484D"/>
                <w:sz w:val="22"/>
              </w:rPr>
              <w:t>-1.2%</w:t>
            </w:r>
          </w:p>
        </w:tc>
        <w:tc>
          <w:tcPr>
            <w:tcW w:type="dxa" w:w="1440"/>
          </w:tcPr>
          <w:p>
            <w:r>
              <w:rPr>
                <w:rFonts w:ascii="Calibri" w:hAnsi="Calibri"/>
                <w:sz w:val="22"/>
              </w:rPr>
              <w:t>In Line / Slight Miss</w:t>
            </w:r>
          </w:p>
        </w:tc>
      </w:tr>
    </w:tbl>
    <w:p>
      <w:r>
        <w:rPr>
          <w:rFonts w:ascii="Calibri" w:hAnsi="Calibri"/>
          <w:b/>
          <w:color w:val="525866"/>
          <w:sz w:val="22"/>
        </w:rPr>
        <w:t xml:space="preserve">Pattern: </w:t>
      </w:r>
      <w:r>
        <w:rPr>
          <w:rFonts w:ascii="Calibri" w:hAnsi="Calibri"/>
          <w:color w:val="525866"/>
          <w:sz w:val="22"/>
        </w:rPr>
        <w:t>CDW has beaten revenue consensus in 6 of the last 8 quarters, with the misses concentrated in the mid-2024 period when IT spending was soft. Non-GAAP EPS beats have been consistent when revenue surprises positively; the Q1 2026 EPS in-line result despite a large revenue beat reflects gross margin compression from hardware mix — the key dynamic to watch in Q2.</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its full-year gross profit outlook at Q1 earnings (to low-to-mid single digits from low single digits) and explicitly named Q2 as the inflection point for 'Geared for Growth' savings; </w:t>
      </w:r>
      <w:r>
        <w:rPr>
          <w:rFonts w:ascii="Calibri" w:hAnsi="Calibri"/>
          <w:b/>
          <w:color w:val="525866"/>
          <w:sz w:val="22"/>
        </w:rPr>
        <w:t>no post-earnings guidance revisions have been issued since May 6</w:t>
      </w:r>
      <w:r>
        <w:rPr>
          <w:rFonts w:ascii="Calibri" w:hAnsi="Calibri"/>
          <w:color w:val="525866"/>
          <w:sz w:val="22"/>
        </w:rPr>
        <w:t>, leaving the Q1 call as the sole baseline.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Gross Profit Growth (YoY)</w:t>
            </w:r>
          </w:p>
        </w:tc>
        <w:tc>
          <w:tcPr>
            <w:tcW w:type="dxa" w:w="1728"/>
          </w:tcPr>
          <w:p>
            <w:r>
              <w:rPr>
                <w:rFonts w:ascii="Calibri" w:hAnsi="Calibri"/>
                <w:sz w:val="22"/>
              </w:rPr>
              <w:t>Mid-single-digit YoY; high-single-digit sequential from Q1</w:t>
            </w:r>
          </w:p>
        </w:tc>
        <w:tc>
          <w:tcPr>
            <w:tcW w:type="dxa" w:w="1728"/>
          </w:tcPr>
          <w:p>
            <w:r>
              <w:rPr>
                <w:rFonts w:ascii="Calibri" w:hAnsi="Calibri"/>
                <w:sz w:val="22"/>
              </w:rPr>
              <w:t>—</w:t>
            </w:r>
          </w:p>
        </w:tc>
        <w:tc>
          <w:tcPr>
            <w:tcW w:type="dxa" w:w="1728"/>
          </w:tcPr>
          <w:p>
            <w:r>
              <w:rPr>
                <w:rFonts w:ascii="Calibri" w:hAnsi="Calibri"/>
                <w:sz w:val="22"/>
              </w:rPr>
              <w:t>$1.31B (+5.5% YoY)</w:t>
            </w:r>
          </w:p>
        </w:tc>
        <w:tc>
          <w:tcPr>
            <w:tcW w:type="dxa" w:w="1728"/>
          </w:tcPr>
          <w:p>
            <w:r>
              <w:rPr>
                <w:rFonts w:ascii="Calibri" w:hAnsi="Calibri"/>
                <w:sz w:val="22"/>
              </w:rPr>
              <w:t>No post-earnings revision; consensus in line with guidance midpoint</w:t>
            </w:r>
          </w:p>
        </w:tc>
      </w:tr>
      <w:tr>
        <w:tc>
          <w:tcPr>
            <w:tcW w:type="dxa" w:w="1728"/>
          </w:tcPr>
          <w:p>
            <w:r>
              <w:rPr>
                <w:rFonts w:ascii="Calibri" w:hAnsi="Calibri"/>
                <w:sz w:val="22"/>
              </w:rPr>
              <w:t>Q2 2026 Non-GAAP EPS Growth (YoY)</w:t>
            </w:r>
          </w:p>
        </w:tc>
        <w:tc>
          <w:tcPr>
            <w:tcW w:type="dxa" w:w="1728"/>
          </w:tcPr>
          <w:p>
            <w:r>
              <w:rPr>
                <w:rFonts w:ascii="Calibri" w:hAnsi="Calibri"/>
                <w:sz w:val="22"/>
              </w:rPr>
              <w:t>Up high single digits YoY</w:t>
            </w:r>
          </w:p>
        </w:tc>
        <w:tc>
          <w:tcPr>
            <w:tcW w:type="dxa" w:w="1728"/>
          </w:tcPr>
          <w:p>
            <w:r>
              <w:rPr>
                <w:rFonts w:ascii="Calibri" w:hAnsi="Calibri"/>
                <w:sz w:val="22"/>
              </w:rPr>
              <w:t>—</w:t>
            </w:r>
          </w:p>
        </w:tc>
        <w:tc>
          <w:tcPr>
            <w:tcW w:type="dxa" w:w="1728"/>
          </w:tcPr>
          <w:p>
            <w:r>
              <w:rPr>
                <w:rFonts w:ascii="Calibri" w:hAnsi="Calibri"/>
                <w:sz w:val="22"/>
              </w:rPr>
              <w:t>$2.80 (+7.7% YoY)</w:t>
            </w:r>
          </w:p>
        </w:tc>
        <w:tc>
          <w:tcPr>
            <w:tcW w:type="dxa" w:w="1728"/>
          </w:tcPr>
          <w:p>
            <w:r>
              <w:rPr>
                <w:rFonts w:ascii="Calibri" w:hAnsi="Calibri"/>
                <w:sz w:val="22"/>
              </w:rPr>
              <w:t>No post-earnings revision; consensus at low end of ‘high single digits’ range</w:t>
            </w:r>
          </w:p>
        </w:tc>
      </w:tr>
      <w:tr>
        <w:tc>
          <w:tcPr>
            <w:tcW w:type="dxa" w:w="1728"/>
          </w:tcPr>
          <w:p>
            <w:r>
              <w:rPr>
                <w:rFonts w:ascii="Calibri" w:hAnsi="Calibri"/>
                <w:sz w:val="22"/>
              </w:rPr>
              <w:t>Q2 2026 Non-GAAP SG&amp;A</w:t>
            </w:r>
          </w:p>
        </w:tc>
        <w:tc>
          <w:tcPr>
            <w:tcW w:type="dxa" w:w="1728"/>
          </w:tcPr>
          <w:p>
            <w:r>
              <w:rPr>
                <w:rFonts w:ascii="Calibri" w:hAnsi="Calibri"/>
                <w:sz w:val="22"/>
              </w:rPr>
              <w:t>Modestly higher than Q1; OpEx as % of GP seasonally lower than Q1, similar to Q2 2025</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Geared for Growth savings begin flowing in H2; Q2 is the inflection point per management</w:t>
            </w:r>
          </w:p>
        </w:tc>
      </w:tr>
      <w:tr>
        <w:tc>
          <w:tcPr>
            <w:tcW w:type="dxa" w:w="1728"/>
          </w:tcPr>
          <w:p>
            <w:r>
              <w:rPr>
                <w:rFonts w:ascii="Calibri" w:hAnsi="Calibri"/>
                <w:sz w:val="22"/>
              </w:rPr>
              <w:t>FY 2026 Gross Profit Growth (YoY)</w:t>
            </w:r>
          </w:p>
        </w:tc>
        <w:tc>
          <w:tcPr>
            <w:tcW w:type="dxa" w:w="1728"/>
          </w:tcPr>
          <w:p>
            <w:r>
              <w:rPr>
                <w:rFonts w:ascii="Calibri" w:hAnsi="Calibri"/>
                <w:sz w:val="22"/>
              </w:rPr>
              <w:t>Low-to-mid single digits (raised from low single digits at Q4 2025 earnings)</w:t>
            </w:r>
          </w:p>
        </w:tc>
        <w:tc>
          <w:tcPr>
            <w:tcW w:type="dxa" w:w="1728"/>
          </w:tcPr>
          <w:p>
            <w:r>
              <w:rPr>
                <w:rFonts w:ascii="Calibri" w:hAnsi="Calibri"/>
                <w:sz w:val="22"/>
              </w:rPr>
              <w:t>—</w:t>
            </w:r>
          </w:p>
        </w:tc>
        <w:tc>
          <w:tcPr>
            <w:tcW w:type="dxa" w:w="1728"/>
          </w:tcPr>
          <w:p>
            <w:r>
              <w:rPr>
                <w:rFonts w:ascii="Calibri" w:hAnsi="Calibri"/>
                <w:sz w:val="22"/>
              </w:rPr>
              <w:t>$5.09B (+3.0% YoY)</w:t>
            </w:r>
          </w:p>
        </w:tc>
        <w:tc>
          <w:tcPr>
            <w:tcW w:type="dxa" w:w="1728"/>
          </w:tcPr>
          <w:p>
            <w:r>
              <w:rPr>
                <w:rFonts w:ascii="Calibri" w:hAnsi="Calibri"/>
                <w:sz w:val="22"/>
              </w:rPr>
              <w:t>Guidance raised at Q1 2026 earnings; no further revision since</w:t>
            </w:r>
          </w:p>
        </w:tc>
      </w:tr>
      <w:tr>
        <w:tc>
          <w:tcPr>
            <w:tcW w:type="dxa" w:w="1728"/>
          </w:tcPr>
          <w:p>
            <w:r>
              <w:rPr>
                <w:rFonts w:ascii="Calibri" w:hAnsi="Calibri"/>
                <w:sz w:val="22"/>
              </w:rPr>
              <w:t>FY 2026 Non-GAAP EPS Growth (YoY)</w:t>
            </w:r>
          </w:p>
        </w:tc>
        <w:tc>
          <w:tcPr>
            <w:tcW w:type="dxa" w:w="1728"/>
          </w:tcPr>
          <w:p>
            <w:r>
              <w:rPr>
                <w:rFonts w:ascii="Calibri" w:hAnsi="Calibri"/>
                <w:sz w:val="22"/>
              </w:rPr>
              <w:t>High end of mid-single digits YoY (reaffirmed)</w:t>
            </w:r>
          </w:p>
        </w:tc>
        <w:tc>
          <w:tcPr>
            <w:tcW w:type="dxa" w:w="1728"/>
          </w:tcPr>
          <w:p>
            <w:r>
              <w:rPr>
                <w:rFonts w:ascii="Calibri" w:hAnsi="Calibri"/>
                <w:sz w:val="22"/>
              </w:rPr>
              <w:t>—</w:t>
            </w:r>
          </w:p>
        </w:tc>
        <w:tc>
          <w:tcPr>
            <w:tcW w:type="dxa" w:w="1728"/>
          </w:tcPr>
          <w:p>
            <w:r>
              <w:rPr>
                <w:rFonts w:ascii="Calibri" w:hAnsi="Calibri"/>
                <w:sz w:val="22"/>
              </w:rPr>
              <w:t>$10.67 (+5.8% YoY)</w:t>
            </w:r>
          </w:p>
        </w:tc>
        <w:tc>
          <w:tcPr>
            <w:tcW w:type="dxa" w:w="1728"/>
          </w:tcPr>
          <w:p>
            <w:r>
              <w:rPr>
                <w:rFonts w:ascii="Calibri" w:hAnsi="Calibri"/>
                <w:sz w:val="22"/>
              </w:rPr>
              <w:t>Reaffirmed at Q1 2026 earnings; consensus at high end of guided range</w:t>
            </w:r>
          </w:p>
        </w:tc>
      </w:tr>
      <w:tr>
        <w:tc>
          <w:tcPr>
            <w:tcW w:type="dxa" w:w="1728"/>
          </w:tcPr>
          <w:p>
            <w:r>
              <w:rPr>
                <w:rFonts w:ascii="Calibri" w:hAnsi="Calibri"/>
                <w:sz w:val="22"/>
              </w:rPr>
              <w:t>FY 2026 Gross Margin</w:t>
            </w:r>
          </w:p>
        </w:tc>
        <w:tc>
          <w:tcPr>
            <w:tcW w:type="dxa" w:w="1728"/>
          </w:tcPr>
          <w:p>
            <w:r>
              <w:rPr>
                <w:rFonts w:ascii="Calibri" w:hAnsi="Calibri"/>
                <w:sz w:val="22"/>
              </w:rPr>
              <w:t>Approximately in line with 2025 levels (~21.6%)</w:t>
            </w:r>
          </w:p>
        </w:tc>
        <w:tc>
          <w:tcPr>
            <w:tcW w:type="dxa" w:w="1728"/>
          </w:tcPr>
          <w:p>
            <w:r>
              <w:rPr>
                <w:rFonts w:ascii="Calibri" w:hAnsi="Calibri"/>
                <w:sz w:val="22"/>
              </w:rPr>
              <w:t>—</w:t>
            </w:r>
          </w:p>
        </w:tc>
        <w:tc>
          <w:tcPr>
            <w:tcW w:type="dxa" w:w="1728"/>
          </w:tcPr>
          <w:p>
            <w:r>
              <w:rPr>
                <w:rFonts w:ascii="Calibri" w:hAnsi="Calibri"/>
                <w:sz w:val="22"/>
              </w:rPr>
              <w:t>~21.6% implied by consensus GP / revenue</w:t>
            </w:r>
          </w:p>
        </w:tc>
        <w:tc>
          <w:tcPr>
            <w:tcW w:type="dxa" w:w="1728"/>
          </w:tcPr>
          <w:p>
            <w:r>
              <w:rPr>
                <w:rFonts w:ascii="Calibri" w:hAnsi="Calibri"/>
                <w:sz w:val="22"/>
              </w:rPr>
              <w:t>Lowered from prior expectation of modest expansion; hardware mix higher than originally anticipated</w:t>
            </w:r>
          </w:p>
        </w:tc>
      </w:tr>
      <w:tr>
        <w:tc>
          <w:tcPr>
            <w:tcW w:type="dxa" w:w="1728"/>
          </w:tcPr>
          <w:p>
            <w:r>
              <w:rPr>
                <w:rFonts w:ascii="Calibri" w:hAnsi="Calibri"/>
                <w:sz w:val="22"/>
              </w:rPr>
              <w:t>FY 2026 US IT Market Growth</w:t>
            </w:r>
          </w:p>
        </w:tc>
        <w:tc>
          <w:tcPr>
            <w:tcW w:type="dxa" w:w="1728"/>
          </w:tcPr>
          <w:p>
            <w:r>
              <w:rPr>
                <w:rFonts w:ascii="Calibri" w:hAnsi="Calibri"/>
                <w:sz w:val="22"/>
              </w:rPr>
              <w:t>Low single digits; CDW outperformance of 200–300bps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Maintained; management prudent on H2 given macro/geopolitical uncertainty</w:t>
            </w:r>
          </w:p>
        </w:tc>
      </w:tr>
    </w:tbl>
    <w:p>
      <w:r>
        <w:rPr>
          <w:rFonts w:ascii="Calibri" w:hAnsi="Calibri"/>
          <w:i/>
          <w:color w:val="525866"/>
          <w:sz w:val="22"/>
        </w:rPr>
        <w:t>Source: CDW Q1 2026 Earnings Call Transcript (May 6,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and FY 2026 have moved modestly higher since the Q1 print, tracking management’s raised guidance; </w:t>
      </w:r>
      <w:r>
        <w:rPr>
          <w:rFonts w:ascii="Calibri" w:hAnsi="Calibri"/>
          <w:b/>
          <w:color w:val="525866"/>
          <w:sz w:val="22"/>
        </w:rPr>
        <w:t>the gap between consensus and guidance is narrow, suggesting limited cushion if execution disappoints</w:t>
      </w:r>
      <w:r>
        <w:rPr>
          <w:rFonts w:ascii="Calibri" w:hAnsi="Calibri"/>
          <w:color w:val="525866"/>
          <w:sz w:val="22"/>
        </w:rPr>
        <w: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 ~May 13,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Sales — Q2 2026</w:t>
            </w:r>
          </w:p>
        </w:tc>
        <w:tc>
          <w:tcPr>
            <w:tcW w:type="dxa" w:w="1080"/>
          </w:tcPr>
          <w:p>
            <w:r>
              <w:rPr>
                <w:rFonts w:ascii="Calibri" w:hAnsi="Calibri"/>
                <w:sz w:val="22"/>
              </w:rPr>
              <w:t>$6.20B</w:t>
            </w:r>
          </w:p>
        </w:tc>
        <w:tc>
          <w:tcPr>
            <w:tcW w:type="dxa" w:w="1080"/>
          </w:tcPr>
          <w:p>
            <w:r>
              <w:rPr>
                <w:rFonts w:ascii="Calibri" w:hAnsi="Calibri"/>
                <w:sz w:val="22"/>
              </w:rPr>
              <w:t>$6.25B</w:t>
            </w:r>
          </w:p>
        </w:tc>
        <w:tc>
          <w:tcPr>
            <w:tcW w:type="dxa" w:w="1080"/>
          </w:tcPr>
          <w:p>
            <w:r>
              <w:rPr>
                <w:rFonts w:ascii="Calibri" w:hAnsi="Calibri"/>
                <w:sz w:val="22"/>
              </w:rPr>
              <w:t>+0.8%</w:t>
            </w:r>
          </w:p>
        </w:tc>
        <w:tc>
          <w:tcPr>
            <w:tcW w:type="dxa" w:w="1080"/>
          </w:tcPr>
          <w:p>
            <w:r>
              <w:rPr>
                <w:rFonts w:ascii="Calibri" w:hAnsi="Calibri"/>
                <w:sz w:val="22"/>
              </w:rPr>
              <w:t>No specific $ guidance</w:t>
            </w:r>
          </w:p>
        </w:tc>
        <w:tc>
          <w:tcPr>
            <w:tcW w:type="dxa" w:w="1080"/>
          </w:tcPr>
          <w:p>
            <w:r>
              <w:rPr>
                <w:rFonts w:ascii="Calibri" w:hAnsi="Calibri"/>
                <w:sz w:val="22"/>
              </w:rPr>
              <w:t>No specific $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Gross Profit — Q2 2026</w:t>
            </w:r>
          </w:p>
        </w:tc>
        <w:tc>
          <w:tcPr>
            <w:tcW w:type="dxa" w:w="1080"/>
          </w:tcPr>
          <w:p>
            <w:r>
              <w:rPr>
                <w:rFonts w:ascii="Calibri" w:hAnsi="Calibri"/>
                <w:sz w:val="22"/>
              </w:rPr>
              <w:t>$1.31B</w:t>
            </w:r>
          </w:p>
        </w:tc>
        <w:tc>
          <w:tcPr>
            <w:tcW w:type="dxa" w:w="1080"/>
          </w:tcPr>
          <w:p>
            <w:r>
              <w:rPr>
                <w:rFonts w:ascii="Calibri" w:hAnsi="Calibri"/>
                <w:sz w:val="22"/>
              </w:rPr>
              <w:t>$1.31B</w:t>
            </w:r>
          </w:p>
        </w:tc>
        <w:tc>
          <w:tcPr>
            <w:tcW w:type="dxa" w:w="1080"/>
          </w:tcPr>
          <w:p>
            <w:r>
              <w:rPr>
                <w:rFonts w:ascii="Calibri" w:hAnsi="Calibri"/>
                <w:sz w:val="22"/>
              </w:rPr>
              <w:t>+0.2%</w:t>
            </w:r>
          </w:p>
        </w:tc>
        <w:tc>
          <w:tcPr>
            <w:tcW w:type="dxa" w:w="1080"/>
          </w:tcPr>
          <w:p>
            <w:r>
              <w:rPr>
                <w:rFonts w:ascii="Calibri" w:hAnsi="Calibri"/>
                <w:sz w:val="22"/>
              </w:rPr>
              <w:t>Mid-single-digit YoY growth</w:t>
            </w:r>
          </w:p>
        </w:tc>
        <w:tc>
          <w:tcPr>
            <w:tcW w:type="dxa" w:w="1080"/>
          </w:tcPr>
          <w:p>
            <w:r>
              <w:rPr>
                <w:rFonts w:ascii="Calibri" w:hAnsi="Calibri"/>
                <w:sz w:val="22"/>
              </w:rPr>
              <w:t>Mid-single-digit YoY growth (unchanged)</w:t>
            </w:r>
          </w:p>
        </w:tc>
        <w:tc>
          <w:tcPr>
            <w:tcW w:type="dxa" w:w="1080"/>
          </w:tcPr>
          <w:p>
            <w:r>
              <w:rPr>
                <w:rFonts w:ascii="Calibri" w:hAnsi="Calibri"/>
                <w:sz w:val="22"/>
              </w:rPr>
              <w:t>Unchanged</w:t>
            </w:r>
          </w:p>
        </w:tc>
        <w:tc>
          <w:tcPr>
            <w:tcW w:type="dxa" w:w="1080"/>
          </w:tcPr>
          <w:p>
            <w:r>
              <w:rPr>
                <w:rFonts w:ascii="Calibri" w:hAnsi="Calibri"/>
                <w:sz w:val="22"/>
              </w:rPr>
              <w:t>~In line</w:t>
            </w:r>
          </w:p>
        </w:tc>
      </w:tr>
      <w:tr>
        <w:tc>
          <w:tcPr>
            <w:tcW w:type="dxa" w:w="1080"/>
          </w:tcPr>
          <w:p>
            <w:r>
              <w:rPr>
                <w:rFonts w:ascii="Calibri" w:hAnsi="Calibri"/>
                <w:sz w:val="22"/>
              </w:rPr>
              <w:t>Non-GAAP EPS — Q2 2026</w:t>
            </w:r>
          </w:p>
        </w:tc>
        <w:tc>
          <w:tcPr>
            <w:tcW w:type="dxa" w:w="1080"/>
          </w:tcPr>
          <w:p>
            <w:r>
              <w:rPr>
                <w:rFonts w:ascii="Calibri" w:hAnsi="Calibri"/>
                <w:sz w:val="22"/>
              </w:rPr>
              <w:t>$2.79</w:t>
            </w:r>
          </w:p>
        </w:tc>
        <w:tc>
          <w:tcPr>
            <w:tcW w:type="dxa" w:w="1080"/>
          </w:tcPr>
          <w:p>
            <w:r>
              <w:rPr>
                <w:rFonts w:ascii="Calibri" w:hAnsi="Calibri"/>
                <w:sz w:val="22"/>
              </w:rPr>
              <w:t>$2.80</w:t>
            </w:r>
          </w:p>
        </w:tc>
        <w:tc>
          <w:tcPr>
            <w:tcW w:type="dxa" w:w="1080"/>
          </w:tcPr>
          <w:p>
            <w:r>
              <w:rPr>
                <w:rFonts w:ascii="Calibri" w:hAnsi="Calibri"/>
                <w:sz w:val="22"/>
              </w:rPr>
              <w:t>+0.5%</w:t>
            </w:r>
          </w:p>
        </w:tc>
        <w:tc>
          <w:tcPr>
            <w:tcW w:type="dxa" w:w="1080"/>
          </w:tcPr>
          <w:p>
            <w:r>
              <w:rPr>
                <w:rFonts w:ascii="Calibri" w:hAnsi="Calibri"/>
                <w:sz w:val="22"/>
              </w:rPr>
              <w:t>Up high single digits YoY</w:t>
            </w:r>
          </w:p>
        </w:tc>
        <w:tc>
          <w:tcPr>
            <w:tcW w:type="dxa" w:w="1080"/>
          </w:tcPr>
          <w:p>
            <w:r>
              <w:rPr>
                <w:rFonts w:ascii="Calibri" w:hAnsi="Calibri"/>
                <w:sz w:val="22"/>
              </w:rPr>
              <w:t>Up high single digits YoY (unchanged)</w:t>
            </w:r>
          </w:p>
        </w:tc>
        <w:tc>
          <w:tcPr>
            <w:tcW w:type="dxa" w:w="1080"/>
          </w:tcPr>
          <w:p>
            <w:r>
              <w:rPr>
                <w:rFonts w:ascii="Calibri" w:hAnsi="Calibri"/>
                <w:sz w:val="22"/>
              </w:rPr>
              <w:t>Unchanged</w:t>
            </w:r>
          </w:p>
        </w:tc>
        <w:tc>
          <w:tcPr>
            <w:tcW w:type="dxa" w:w="1080"/>
          </w:tcPr>
          <w:p>
            <w:r>
              <w:rPr>
                <w:rFonts w:ascii="Calibri" w:hAnsi="Calibri"/>
                <w:sz w:val="22"/>
              </w:rPr>
              <w:t>~In line (low end of range)</w:t>
            </w:r>
          </w:p>
        </w:tc>
      </w:tr>
      <w:tr>
        <w:tc>
          <w:tcPr>
            <w:tcW w:type="dxa" w:w="1080"/>
          </w:tcPr>
          <w:p>
            <w:r>
              <w:rPr>
                <w:rFonts w:ascii="Calibri" w:hAnsi="Calibri"/>
                <w:sz w:val="22"/>
              </w:rPr>
              <w:t>Net Sales — FY 2026</w:t>
            </w:r>
          </w:p>
        </w:tc>
        <w:tc>
          <w:tcPr>
            <w:tcW w:type="dxa" w:w="1080"/>
          </w:tcPr>
          <w:p>
            <w:r>
              <w:rPr>
                <w:rFonts w:ascii="Calibri" w:hAnsi="Calibri"/>
                <w:sz w:val="22"/>
              </w:rPr>
              <w:t>$23.45B</w:t>
            </w:r>
          </w:p>
        </w:tc>
        <w:tc>
          <w:tcPr>
            <w:tcW w:type="dxa" w:w="1080"/>
          </w:tcPr>
          <w:p>
            <w:r>
              <w:rPr>
                <w:rFonts w:ascii="Calibri" w:hAnsi="Calibri"/>
                <w:sz w:val="22"/>
              </w:rPr>
              <w:t>$23.53B</w:t>
            </w:r>
          </w:p>
        </w:tc>
        <w:tc>
          <w:tcPr>
            <w:tcW w:type="dxa" w:w="1080"/>
          </w:tcPr>
          <w:p>
            <w:r>
              <w:rPr>
                <w:rFonts w:ascii="Calibri" w:hAnsi="Calibri"/>
                <w:sz w:val="22"/>
              </w:rPr>
              <w:t>+0.4%</w:t>
            </w:r>
          </w:p>
        </w:tc>
        <w:tc>
          <w:tcPr>
            <w:tcW w:type="dxa" w:w="1080"/>
          </w:tcPr>
          <w:p>
            <w:r>
              <w:rPr>
                <w:rFonts w:ascii="Calibri" w:hAnsi="Calibri"/>
                <w:sz w:val="22"/>
              </w:rPr>
              <w:t>Low-single-digit US IT market growth + 200–300bps outperformance</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~In line</w:t>
            </w:r>
          </w:p>
        </w:tc>
      </w:tr>
      <w:tr>
        <w:tc>
          <w:tcPr>
            <w:tcW w:type="dxa" w:w="1080"/>
          </w:tcPr>
          <w:p>
            <w:r>
              <w:rPr>
                <w:rFonts w:ascii="Calibri" w:hAnsi="Calibri"/>
                <w:sz w:val="22"/>
              </w:rPr>
              <w:t>Gross Profit — FY 2026</w:t>
            </w:r>
          </w:p>
        </w:tc>
        <w:tc>
          <w:tcPr>
            <w:tcW w:type="dxa" w:w="1080"/>
          </w:tcPr>
          <w:p>
            <w:r>
              <w:rPr>
                <w:rFonts w:ascii="Calibri" w:hAnsi="Calibri"/>
                <w:sz w:val="22"/>
              </w:rPr>
              <w:t>$5.08B</w:t>
            </w:r>
          </w:p>
        </w:tc>
        <w:tc>
          <w:tcPr>
            <w:tcW w:type="dxa" w:w="1080"/>
          </w:tcPr>
          <w:p>
            <w:r>
              <w:rPr>
                <w:rFonts w:ascii="Calibri" w:hAnsi="Calibri"/>
                <w:sz w:val="22"/>
              </w:rPr>
              <w:t>$5.09B</w:t>
            </w:r>
          </w:p>
        </w:tc>
        <w:tc>
          <w:tcPr>
            <w:tcW w:type="dxa" w:w="1080"/>
          </w:tcPr>
          <w:p>
            <w:r>
              <w:rPr>
                <w:rFonts w:ascii="Calibri" w:hAnsi="Calibri"/>
                <w:sz w:val="22"/>
              </w:rPr>
              <w:t>+0.2%</w:t>
            </w:r>
          </w:p>
        </w:tc>
        <w:tc>
          <w:tcPr>
            <w:tcW w:type="dxa" w:w="1080"/>
          </w:tcPr>
          <w:p>
            <w:r>
              <w:rPr>
                <w:rFonts w:ascii="Calibri" w:hAnsi="Calibri"/>
                <w:sz w:val="22"/>
              </w:rPr>
              <w:t>Low-to-mid single digits YoY (raised at Q1 earnings)</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~In line</w:t>
            </w:r>
          </w:p>
        </w:tc>
      </w:tr>
      <w:tr>
        <w:tc>
          <w:tcPr>
            <w:tcW w:type="dxa" w:w="1080"/>
          </w:tcPr>
          <w:p>
            <w:r>
              <w:rPr>
                <w:rFonts w:ascii="Calibri" w:hAnsi="Calibri"/>
                <w:sz w:val="22"/>
              </w:rPr>
              <w:t>Non-GAAP EPS — FY 2026</w:t>
            </w:r>
          </w:p>
        </w:tc>
        <w:tc>
          <w:tcPr>
            <w:tcW w:type="dxa" w:w="1080"/>
          </w:tcPr>
          <w:p>
            <w:r>
              <w:rPr>
                <w:rFonts w:ascii="Calibri" w:hAnsi="Calibri"/>
                <w:sz w:val="22"/>
              </w:rPr>
              <w:t>$10.60</w:t>
            </w:r>
          </w:p>
        </w:tc>
        <w:tc>
          <w:tcPr>
            <w:tcW w:type="dxa" w:w="1080"/>
          </w:tcPr>
          <w:p>
            <w:r>
              <w:rPr>
                <w:rFonts w:ascii="Calibri" w:hAnsi="Calibri"/>
                <w:sz w:val="22"/>
              </w:rPr>
              <w:t>$10.67</w:t>
            </w:r>
          </w:p>
        </w:tc>
        <w:tc>
          <w:tcPr>
            <w:tcW w:type="dxa" w:w="1080"/>
          </w:tcPr>
          <w:p>
            <w:r>
              <w:rPr>
                <w:rFonts w:ascii="Calibri" w:hAnsi="Calibri"/>
                <w:sz w:val="22"/>
              </w:rPr>
              <w:t>+0.7%</w:t>
            </w:r>
          </w:p>
        </w:tc>
        <w:tc>
          <w:tcPr>
            <w:tcW w:type="dxa" w:w="1080"/>
          </w:tcPr>
          <w:p>
            <w:r>
              <w:rPr>
                <w:rFonts w:ascii="Calibri" w:hAnsi="Calibri"/>
                <w:sz w:val="22"/>
              </w:rPr>
              <w:t>High end of mid-single digits YoY (reaffirmed)</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~In line (high end of range)</w:t>
            </w:r>
          </w:p>
        </w:tc>
      </w:tr>
    </w:tbl>
    <w:p>
      <w:r>
        <w:rPr>
          <w:rFonts w:ascii="Calibri" w:hAnsi="Calibri"/>
          <w:color w:val="525866"/>
          <w:sz w:val="22"/>
        </w:rPr>
        <w:t>Estimates have barely moved since the Q1 print, reflecting a market that largely accepted management’s guidance at face value. The narrow consensus-vs-guidance gap means there is little estimate cushion: a miss on gross profit or EPS would require a downward revision rather than simply absorbing within the existing range.</w:t>
      </w:r>
    </w:p>
    <w:p>
      <w:r>
        <w:rPr>
          <w:rFonts w:ascii="Calibri" w:hAnsi="Calibri"/>
          <w:i/>
          <w:color w:val="525866"/>
          <w:sz w:val="22"/>
        </w:rPr>
        <w:t>Source: Visible Alpha Consensus and Actuals Data; CDW Q1 2026 Earnings Call Transcript.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CDW has dramatically outperformed since Q1 earnings — </w:t>
      </w:r>
      <w:r>
        <w:rPr>
          <w:rFonts w:ascii="Calibri" w:hAnsi="Calibri"/>
          <w:b/>
          <w:color w:val="525866"/>
          <w:sz w:val="22"/>
        </w:rPr>
        <w:t>up ~41% vs. XLK +10% and SPY +5%</w:t>
      </w:r>
      <w:r>
        <w:rPr>
          <w:rFonts w:ascii="Calibri" w:hAnsi="Calibri"/>
          <w:color w:val="525866"/>
          <w:sz w:val="22"/>
        </w:rPr>
        <w:t xml:space="preserve"> — driven by multiple re-rating as the market repriced the AI infrastructure demand cycle and the company’s backlog visibility, not by estimate revisions (which barely moved).</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CDW vs. XLK vs. S&amp;P 500 — Indexed to 100 at Q1 2026 Earnings (May 6, 2026). Source: Stock Price Data.</w:t>
      </w:r>
    </w:p>
    <w:p>
      <w:r>
        <w:rPr>
          <w:rFonts w:ascii="Calibri" w:hAnsi="Calibri"/>
          <w:color w:val="525866"/>
          <w:sz w:val="22"/>
        </w:rPr>
        <w:t>CDW closed at $109.00 on May 6, 2026 (Q1 earnings day) and has since rallied to $154.00 as of August 4, 2026 — a gain of +41.3% in roughly 60 trading days. This compares to XLK +9.9% and SPY +5.1% over the same period, representing substantial alpha generation. The outperformance is almost entirely multiple-driven: consensus EPS estimates for FY 2026 moved only ~+0.7% over the period, while the stock gained 41%, implying the forward P/E expanded from roughly 14–15x to approximately 20–21x. The re-rating reflects the market’s reassessment of CDW’s positioning in the AI infrastructure cycle — particularly the backlog build, GPU-as-a-service partnership with Boost Run, and the 'Geared for Growth' operating leverage narrative. The stock peaked near $147–$154 in late July/early August, coinciding with strong peer prints from MSFT, AVGO, and HPE. The key risk heading into the print is that the stock has already priced in a clean beat; any gross margin disappointment or services miss could trigger a sharp reversal given the elevated multiple.</w:t>
      </w:r>
    </w:p>
    <w:p>
      <w:r>
        <w:rPr>
          <w:rFonts w:ascii="Calibri" w:hAnsi="Calibri"/>
          <w:i/>
          <w:color w:val="525866"/>
          <w:sz w:val="22"/>
        </w:rPr>
        <w:t>Source: Stock Price Data (Yahoo Finance). Sector ETF: XLK (Technology Select Sector SPDR Fund).</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$1B share repurchase authorization increase (May 13)</w:t>
      </w:r>
      <w:r>
        <w:rPr>
          <w:rFonts w:ascii="Calibri" w:hAnsi="Calibri"/>
          <w:color w:val="525866"/>
          <w:sz w:val="22"/>
        </w:rPr>
        <w:t xml:space="preserve"> — a direct signal that management views the stock as dislocated and intends to use buybacks as a primary EPS accretion lever heading into the 'Geared for Growth' savings cycle.</w:t>
      </w:r>
    </w:p>
    <w:p>
      <w:pPr>
        <w:pStyle w:val="ListBullet"/>
        <w:ind w:left="360" w:hanging="360"/>
      </w:pPr>
      <w:r>
        <w:rPr>
          <w:rFonts w:ascii="Calibri" w:hAnsi="Calibri"/>
          <w:b/>
          <w:color w:val="525866"/>
          <w:sz w:val="22"/>
        </w:rPr>
        <w:t>May 13, 2026 — CDW Authorizes $1 Billion Increase to Share Repurchase Program (8-K).</w:t>
      </w:r>
      <w:r>
        <w:rPr>
          <w:rFonts w:ascii="Calibri" w:hAnsi="Calibri"/>
          <w:color w:val="525866"/>
          <w:sz w:val="22"/>
        </w:rPr>
        <w:t xml:space="preserve"> Management explicitly characterized the stock as dislocated and expressed strong conviction that buybacks represent the best use of capital. This is a direct EPS accretion lever and signals management’s confidence in the medium-term earnings trajectory. </w:t>
      </w:r>
    </w:p>
    <w:p>
      <w:pPr>
        <w:pStyle w:val="ListBullet"/>
        <w:ind w:left="360" w:hanging="360"/>
      </w:pPr>
      <w:r>
        <w:rPr>
          <w:rFonts w:ascii="Calibri" w:hAnsi="Calibri"/>
          <w:b/>
          <w:color w:val="525866"/>
          <w:sz w:val="22"/>
        </w:rPr>
        <w:t>May 6, 2026 — Q1 2026 Earnings: Revenue Beat, EPS In Line, Gross Margin Pressure.</w:t>
      </w:r>
      <w:r>
        <w:rPr>
          <w:rFonts w:ascii="Calibri" w:hAnsi="Calibri"/>
          <w:color w:val="525866"/>
          <w:sz w:val="22"/>
        </w:rPr>
        <w:t xml:space="preserve"> Net sales of $5.68B (+9.2% YoY) significantly beat consensus of $5.47B; non-GAAP EPS of $2.28 met consensus. Gross margin of 21.0% declined 60bps YoY due to lower netted-down revenue mix as customers prioritized hardware. Elevated backlog entering Q2 provides near-term visibility. </w:t>
      </w:r>
    </w:p>
    <w:p>
      <w:pPr>
        <w:pStyle w:val="ListBullet"/>
        <w:ind w:left="360" w:hanging="360"/>
      </w:pPr>
      <w:r>
        <w:rPr>
          <w:rFonts w:ascii="Calibri" w:hAnsi="Calibri"/>
          <w:b/>
          <w:color w:val="525866"/>
          <w:sz w:val="22"/>
        </w:rPr>
        <w:t>May 6, 2026 — GPU-as-a-Service Partnership with Boost Run Announced.</w:t>
      </w:r>
      <w:r>
        <w:rPr>
          <w:rFonts w:ascii="Calibri" w:hAnsi="Calibri"/>
          <w:color w:val="525866"/>
          <w:sz w:val="22"/>
        </w:rPr>
        <w:t xml:space="preserve"> CDW finalized a relationship with Boost Run to deliver high-performance AI infrastructure through a flexible GPU-as-a-service model. Implication: expands CDW’s AI monetization beyond hardware resale into recurring infrastructure-as-a-service revenue, potentially margin-accretive.</w:t>
      </w:r>
    </w:p>
    <w:p>
      <w:pPr>
        <w:pStyle w:val="ListBullet"/>
        <w:ind w:left="360" w:hanging="360"/>
      </w:pPr>
      <w:r>
        <w:rPr>
          <w:rFonts w:ascii="Calibri" w:hAnsi="Calibri"/>
          <w:b/>
          <w:color w:val="525866"/>
          <w:sz w:val="22"/>
        </w:rPr>
        <w:t>May 6, 2026 — 'Geared for Growth' AI-Powered Modernization Initiative Detailed.</w:t>
      </w:r>
      <w:r>
        <w:rPr>
          <w:rFonts w:ascii="Calibri" w:hAnsi="Calibri"/>
          <w:color w:val="525866"/>
          <w:sz w:val="22"/>
        </w:rPr>
        <w:t xml:space="preserve"> Management committed to $100M–$200M in gross annual run-rate savings by 2027–2028, with roughly half to be reinvested. Q2 2026 named as the inflection point for initial savings to begin flowing. Implication: operating leverage story is the key medium-term EPS driver.</w:t>
      </w:r>
    </w:p>
    <w:p>
      <w:pPr>
        <w:pStyle w:val="ListBullet"/>
        <w:ind w:left="360" w:hanging="360"/>
      </w:pPr>
      <w:r>
        <w:rPr>
          <w:rFonts w:ascii="Calibri" w:hAnsi="Calibri"/>
          <w:b/>
          <w:color w:val="525866"/>
          <w:sz w:val="22"/>
        </w:rPr>
        <w:t>May 6, 2026 — LA28 Olympics Device-as-a-Service Contract Secured.</w:t>
      </w:r>
      <w:r>
        <w:rPr>
          <w:rFonts w:ascii="Calibri" w:hAnsi="Calibri"/>
          <w:color w:val="525866"/>
          <w:sz w:val="22"/>
        </w:rPr>
        <w:t xml:space="preserve"> CDW secured the LA28 Olympics Device-as-a-Service contract as a flagship managed services engagement. Implication: validates CDW’s managed services scale and provides a high-profile reference win for enterprise DaaS.</w:t>
      </w:r>
    </w:p>
    <w:p>
      <w:pPr>
        <w:pStyle w:val="ListBullet"/>
        <w:ind w:left="360" w:hanging="360"/>
      </w:pPr>
      <w:r>
        <w:rPr>
          <w:rFonts w:ascii="Calibri" w:hAnsi="Calibri"/>
          <w:b/>
          <w:color w:val="525866"/>
          <w:sz w:val="22"/>
        </w:rPr>
        <w:t>May 6, 2026 — Full-Year Guidance Updated.</w:t>
      </w:r>
      <w:r>
        <w:rPr>
          <w:rFonts w:ascii="Calibri" w:hAnsi="Calibri"/>
          <w:color w:val="525866"/>
          <w:sz w:val="22"/>
        </w:rPr>
        <w:t xml:space="preserve"> Gross profit growth raised to low-to-mid single digits (from low single digits); gross margin now expected approximately in line with 2025 levels (vs. prior expectation of modest expansion). Non-GAAP EPS growth reaffirmed at high end of mid-single digits. Implication: hardware mix higher than originally anticipated, compressing margin outlook.</w:t>
      </w:r>
    </w:p>
    <w:p>
      <w:pPr>
        <w:pStyle w:val="ListBullet"/>
        <w:ind w:left="360" w:hanging="360"/>
      </w:pPr>
      <w:r>
        <w:rPr>
          <w:rFonts w:ascii="Calibri" w:hAnsi="Calibri"/>
          <w:b/>
          <w:color w:val="525866"/>
          <w:sz w:val="22"/>
        </w:rPr>
        <w:t>Ongoing — Memory Pricing Inflation and Supply Constraints.</w:t>
      </w:r>
      <w:r>
        <w:rPr>
          <w:rFonts w:ascii="Calibri" w:hAnsi="Calibri"/>
          <w:color w:val="525866"/>
          <w:sz w:val="22"/>
        </w:rPr>
        <w:t xml:space="preserve"> Multiple peers (Dell, HPE, NTAP) flagged ongoing DRAM/NAND inflationary costs and extended lead times. CDW management noted lead times are becoming more orderly but supply remains constrained. Implication: potential for continued hardware demand pull-forward into Q2, supporting revenue but pressuring gross margin mix.</w:t>
      </w:r>
    </w:p>
    <w:p>
      <w:pPr>
        <w:pStyle w:val="ListBullet"/>
        <w:ind w:left="360" w:hanging="360"/>
      </w:pPr>
      <w:r>
        <w:rPr>
          <w:rFonts w:ascii="Calibri" w:hAnsi="Calibri"/>
          <w:b/>
          <w:color w:val="525866"/>
          <w:sz w:val="22"/>
        </w:rPr>
        <w:t>Ongoing — Federal Government Spending Uncertainty.</w:t>
      </w:r>
      <w:r>
        <w:rPr>
          <w:rFonts w:ascii="Calibri" w:hAnsi="Calibri"/>
          <w:color w:val="525866"/>
          <w:sz w:val="22"/>
        </w:rPr>
        <w:t xml:space="preserve"> CDW’s Public segment (Government + Education) faces ongoing uncertainty from federal budget dynamics. Gartner (IT) noted government CV returned to positive NCVI in Q2 2026, a potential positive read-through for CDW’s government channel.</w:t>
      </w:r>
    </w:p>
    <w:p>
      <w:r>
        <w:br w:type="page"/>
      </w:r>
    </w:p>
    <w:p>
      <w:pPr>
        <w:pStyle w:val="Heading2"/>
      </w:pPr>
      <w:r>
        <w:rPr>
          <w:rFonts w:ascii="Calibri" w:hAnsi="Calibri"/>
          <w:b/>
          <w:color w:val="3B4259"/>
          <w:sz w:val="28"/>
        </w:rPr>
        <w:t>7. Peer Commentaries — Read-Through for CDW Q2 2026</w:t>
      </w:r>
    </w:p>
    <w:p>
      <w:r>
        <w:rPr>
          <w:rFonts w:ascii="Calibri" w:hAnsi="Calibri"/>
          <w:b/>
          <w:color w:val="525866"/>
          <w:sz w:val="22"/>
        </w:rPr>
        <w:t xml:space="preserve">Key Takeaway: </w:t>
      </w:r>
      <w:r>
        <w:rPr>
          <w:rFonts w:ascii="Calibri" w:hAnsi="Calibri"/>
          <w:color w:val="525866"/>
          <w:sz w:val="22"/>
        </w:rPr>
        <w:t xml:space="preserve">Peer commentary from the last 60 days is broadly constructive for CDW’s Q2 print — </w:t>
      </w:r>
      <w:r>
        <w:rPr>
          <w:rFonts w:ascii="Calibri" w:hAnsi="Calibri"/>
          <w:b/>
          <w:color w:val="525866"/>
          <w:sz w:val="22"/>
        </w:rPr>
        <w:t>infrastructure hardware demand remains unprecedented, AI spend is accelerating, and storage/server order momentum is strong</w:t>
      </w:r>
      <w:r>
        <w:rPr>
          <w:rFonts w:ascii="Calibri" w:hAnsi="Calibri"/>
          <w:color w:val="525866"/>
          <w:sz w:val="22"/>
        </w:rPr>
        <w:t xml:space="preserve"> — but IBM’s Q2 miss (large CapEx deals deferred as clients redirected budgets to hardware) is the most important cautionary read-through, as it suggests enterprise budget reallocation toward hardware may have crowded out other IT spend categories.</w:t>
      </w:r>
    </w:p>
    <w:p>
      <w:r>
        <w:rPr>
          <w:rFonts w:ascii="Calibri" w:hAnsi="Calibri"/>
          <w:i/>
          <w:color w:val="525866"/>
          <w:sz w:val="22"/>
        </w:rPr>
        <w:t>Note: Only commentary from the current reporting quarter (Q2 2026, i.e., post-May 6, 2026) or commentary explicitly about Q2 2026 / H2 2026 conditions is included below. Prior-quarter earnings commentary about prior-quarter results is excluded.</w:t>
      </w:r>
    </w:p>
    <w:p>
      <w:pPr>
        <w:pStyle w:val="Heading3"/>
      </w:pPr>
      <w:r>
        <w:rPr>
          <w:rFonts w:ascii="Calibri" w:hAnsi="Calibri"/>
          <w:b/>
          <w:color w:val="3B4259"/>
          <w:sz w:val="24"/>
        </w:rPr>
        <w:t>HPE — Q2 2026 Earnings (June 1, 2026) | ⭐⭐ Strongest Positive Read-Through</w:t>
      </w:r>
    </w:p>
    <w:p>
      <w:r>
        <w:rPr>
          <w:rFonts w:ascii="Calibri" w:hAnsi="Calibri"/>
          <w:b/>
          <w:color w:val="525866"/>
          <w:sz w:val="22"/>
        </w:rPr>
        <w:t xml:space="preserve">Read-Through Signal: </w:t>
      </w:r>
      <w:r>
        <w:rPr>
          <w:rFonts w:ascii="Calibri" w:hAnsi="Calibri"/>
          <w:color w:val="525866"/>
          <w:sz w:val="22"/>
        </w:rPr>
        <w:t>Strongly Positive for CDW infrastructure hardware revenue and backlog.</w:t>
      </w:r>
    </w:p>
    <w:p>
      <w:pPr>
        <w:pStyle w:val="ListBullet"/>
        <w:ind w:left="360" w:hanging="360"/>
      </w:pPr>
      <w:r>
        <w:rPr>
          <w:rFonts w:ascii="Calibri" w:hAnsi="Calibri"/>
          <w:b/>
          <w:color w:val="525866"/>
          <w:sz w:val="22"/>
        </w:rPr>
        <w:t>Unprecedented hardware demand, supply-constrained:</w:t>
      </w:r>
      <w:r>
        <w:rPr>
          <w:rFonts w:ascii="Calibri" w:hAnsi="Calibri"/>
          <w:color w:val="525866"/>
          <w:sz w:val="22"/>
        </w:rPr>
        <w:t xml:space="preserve"> HPE reported orders more than doubling in Q2 2026, significantly outpacing revenue, resulting in a record company backlog. CEO Antonio Neri stated demand was “even stronger than revenue growth” and described “durable demand” with a pipeline “multiples of the current backlog.” Customers are prioritizing access to technology “faster than ever before because nobody wants to be left behind when it comes down to deploying AI.”</w:t>
      </w:r>
    </w:p>
    <w:p>
      <w:pPr>
        <w:pStyle w:val="ListBullet"/>
        <w:ind w:left="360" w:hanging="360"/>
      </w:pPr>
      <w:r>
        <w:rPr>
          <w:rFonts w:ascii="Calibri" w:hAnsi="Calibri"/>
          <w:b/>
          <w:color w:val="525866"/>
          <w:sz w:val="22"/>
        </w:rPr>
        <w:t>Traditional Server orders up triple digits:</w:t>
      </w:r>
      <w:r>
        <w:rPr>
          <w:rFonts w:ascii="Calibri" w:hAnsi="Calibri"/>
          <w:color w:val="525866"/>
          <w:sz w:val="22"/>
        </w:rPr>
        <w:t xml:space="preserve"> HPE’s Traditional Server orders increased triple digits as customers modernize compute infrastructure and invest in AI inferencing. Server revenue increased 33% driven by ASP growth (DRAM/NAND inflation), though unit volumes were supply-constrained. This directly supports CDW’s infrastructure hardware revenue line.</w:t>
      </w:r>
    </w:p>
    <w:p>
      <w:pPr>
        <w:pStyle w:val="ListBullet"/>
        <w:ind w:left="360" w:hanging="360"/>
      </w:pPr>
      <w:r>
        <w:rPr>
          <w:rFonts w:ascii="Calibri" w:hAnsi="Calibri"/>
          <w:b/>
          <w:color w:val="525866"/>
          <w:sz w:val="22"/>
        </w:rPr>
        <w:t>Storage orders up triple digits for sixth consecutive quarter:</w:t>
      </w:r>
      <w:r>
        <w:rPr>
          <w:rFonts w:ascii="Calibri" w:hAnsi="Calibri"/>
          <w:color w:val="525866"/>
          <w:sz w:val="22"/>
        </w:rPr>
        <w:t xml:space="preserve"> Alletra MP Storage orders increased triple digits for the sixth consecutive quarter. CDW’s enterprise and data storage revenue has been a key driver; HPE’s order momentum is a direct positive read-through.</w:t>
      </w:r>
    </w:p>
    <w:p>
      <w:pPr>
        <w:pStyle w:val="ListBullet"/>
        <w:ind w:left="360" w:hanging="360"/>
      </w:pPr>
      <w:r>
        <w:rPr>
          <w:rFonts w:ascii="Calibri" w:hAnsi="Calibri"/>
          <w:b/>
          <w:color w:val="525866"/>
          <w:sz w:val="22"/>
        </w:rPr>
        <w:t>No demand cliff, no pull-in:</w:t>
      </w:r>
      <w:r>
        <w:rPr>
          <w:rFonts w:ascii="Calibri" w:hAnsi="Calibri"/>
          <w:color w:val="525866"/>
          <w:sz w:val="22"/>
        </w:rPr>
        <w:t xml:space="preserve"> HPE explicitly stated it has “not seen any pull in” and does “not see a cliff” in demand despite price increases. This is a key counter to the bear case that Q1 hardware demand was a one-time pull-forward.</w:t>
      </w:r>
    </w:p>
    <w:p>
      <w:pPr>
        <w:pStyle w:val="ListBullet"/>
        <w:ind w:left="360" w:hanging="360"/>
      </w:pPr>
      <w:r>
        <w:rPr>
          <w:rFonts w:ascii="Calibri" w:hAnsi="Calibri"/>
          <w:b/>
          <w:color w:val="525866"/>
          <w:sz w:val="22"/>
        </w:rPr>
        <w:t>Supply is the gating factor:</w:t>
      </w:r>
      <w:r>
        <w:rPr>
          <w:rFonts w:ascii="Calibri" w:hAnsi="Calibri"/>
          <w:color w:val="525866"/>
          <w:sz w:val="22"/>
        </w:rPr>
        <w:t xml:space="preserve"> “There is no incremental supply in ’26 at this point in time.” Supply availability, not demand, is the binding constraint — supportive of CDW’s backlog conversion story in Q2.</w:t>
      </w:r>
    </w:p>
    <w:p>
      <w:pPr>
        <w:pStyle w:val="ListBullet"/>
        <w:ind w:left="360" w:hanging="360"/>
      </w:pPr>
      <w:r>
        <w:rPr>
          <w:rFonts w:ascii="Calibri" w:hAnsi="Calibri"/>
          <w:b/>
          <w:color w:val="525866"/>
          <w:sz w:val="22"/>
        </w:rPr>
        <w:t>FY 2026 EPS guidance raised to $3.35–$3.45:</w:t>
      </w:r>
      <w:r>
        <w:rPr>
          <w:rFonts w:ascii="Calibri" w:hAnsi="Calibri"/>
          <w:color w:val="525866"/>
          <w:sz w:val="22"/>
        </w:rPr>
        <w:t xml:space="preserve"> HPE raised full-year EPS guidance, citing strong H1 results and record backlog. Implication: the infrastructure demand cycle is durable, not a one-quarter phenomenon.</w:t>
      </w:r>
    </w:p>
    <w:p>
      <w:pPr>
        <w:pStyle w:val="Heading3"/>
      </w:pPr>
      <w:r>
        <w:rPr>
          <w:rFonts w:ascii="Calibri" w:hAnsi="Calibri"/>
          <w:b/>
          <w:color w:val="3B4259"/>
          <w:sz w:val="24"/>
        </w:rPr>
        <w:t>Dell Technologies — BofA Global Technology Conference (June 2, 2026) | ⭐⭐ Strong Positive Read-Through</w:t>
      </w:r>
    </w:p>
    <w:p>
      <w:r>
        <w:rPr>
          <w:rFonts w:ascii="Calibri" w:hAnsi="Calibri"/>
          <w:b/>
          <w:color w:val="525866"/>
          <w:sz w:val="22"/>
        </w:rPr>
        <w:t xml:space="preserve">Read-Through Signal: </w:t>
      </w:r>
      <w:r>
        <w:rPr>
          <w:rFonts w:ascii="Calibri" w:hAnsi="Calibri"/>
          <w:color w:val="525866"/>
          <w:sz w:val="22"/>
        </w:rPr>
        <w:t>Strongly Positive for CDW’s AI infrastructure and server/storage revenue.</w:t>
      </w:r>
    </w:p>
    <w:p>
      <w:pPr>
        <w:pStyle w:val="ListBullet"/>
        <w:ind w:left="360" w:hanging="360"/>
      </w:pPr>
      <w:r>
        <w:rPr>
          <w:rFonts w:ascii="Calibri" w:hAnsi="Calibri"/>
          <w:b/>
          <w:color w:val="525866"/>
          <w:sz w:val="22"/>
        </w:rPr>
        <w:t>Unprecedented demand, supply-gated:</w:t>
      </w:r>
      <w:r>
        <w:rPr>
          <w:rFonts w:ascii="Calibri" w:hAnsi="Calibri"/>
          <w:color w:val="525866"/>
          <w:sz w:val="22"/>
        </w:rPr>
        <w:t xml:space="preserve"> Dell described “unprecedented sort of demand in the industry” with guidance raised by $27B (from $140B to $167B), “only gated by supply.” “The demand that we see far exceeds the supply that we have.”</w:t>
      </w:r>
    </w:p>
    <w:p>
      <w:pPr>
        <w:pStyle w:val="ListBullet"/>
        <w:ind w:left="360" w:hanging="360"/>
      </w:pPr>
      <w:r>
        <w:rPr>
          <w:rFonts w:ascii="Calibri" w:hAnsi="Calibri"/>
          <w:b/>
          <w:color w:val="525866"/>
          <w:sz w:val="22"/>
        </w:rPr>
        <w:t>Record backlog of $53.1B:</w:t>
      </w:r>
      <w:r>
        <w:rPr>
          <w:rFonts w:ascii="Calibri" w:hAnsi="Calibri"/>
          <w:color w:val="525866"/>
          <w:sz w:val="22"/>
        </w:rPr>
        <w:t xml:space="preserve"> Dell reported $24B of orders and a record backlog of $53.1B, “still at multiples of our backlog.” This level of order momentum is a strong positive read-through for CDW’s own backlog conversion in Q2.</w:t>
      </w:r>
    </w:p>
    <w:p>
      <w:pPr>
        <w:pStyle w:val="ListBullet"/>
        <w:ind w:left="360" w:hanging="360"/>
      </w:pPr>
      <w:r>
        <w:rPr>
          <w:rFonts w:ascii="Calibri" w:hAnsi="Calibri"/>
          <w:b/>
          <w:color w:val="525866"/>
          <w:sz w:val="22"/>
        </w:rPr>
        <w:t>AI revenue up 760% YoY in Q4:</w:t>
      </w:r>
      <w:r>
        <w:rPr>
          <w:rFonts w:ascii="Calibri" w:hAnsi="Calibri"/>
          <w:color w:val="525866"/>
          <w:sz w:val="22"/>
        </w:rPr>
        <w:t xml:space="preserve"> Dell’s AI-related revenue was $16B, up 760% YoY. Agentic technology is described as an “inflection point” accelerating enterprise AI adoption. CDW is a key distribution channel for Dell infrastructure.</w:t>
      </w:r>
    </w:p>
    <w:p>
      <w:pPr>
        <w:pStyle w:val="ListBullet"/>
        <w:ind w:left="360" w:hanging="360"/>
      </w:pPr>
      <w:r>
        <w:rPr>
          <w:rFonts w:ascii="Calibri" w:hAnsi="Calibri"/>
          <w:b/>
          <w:color w:val="525866"/>
          <w:sz w:val="22"/>
        </w:rPr>
        <w:t>Storage growing strongly:</w:t>
      </w:r>
      <w:r>
        <w:rPr>
          <w:rFonts w:ascii="Calibri" w:hAnsi="Calibri"/>
          <w:color w:val="525866"/>
          <w:sz w:val="22"/>
        </w:rPr>
        <w:t xml:space="preserve"> PowerStore achieved 8 consecutive quarters of double-digit growth; all-flash storage grew “extremely strong” in Q1. “Storage requirements are only going to grow with agentic.”</w:t>
      </w:r>
    </w:p>
    <w:p>
      <w:pPr>
        <w:pStyle w:val="ListBullet"/>
        <w:ind w:left="360" w:hanging="360"/>
      </w:pPr>
      <w:r>
        <w:rPr>
          <w:rFonts w:ascii="Calibri" w:hAnsi="Calibri"/>
          <w:b/>
          <w:color w:val="525866"/>
          <w:sz w:val="22"/>
        </w:rPr>
        <w:t>Memory pricing “very inflationary”:</w:t>
      </w:r>
      <w:r>
        <w:rPr>
          <w:rFonts w:ascii="Calibri" w:hAnsi="Calibri"/>
          <w:color w:val="525866"/>
          <w:sz w:val="22"/>
        </w:rPr>
        <w:t xml:space="preserve"> Dell moved its entire business to new cost structures on December 9 to address memory inflation. Server margins are now in “historical ranges.” This supports CDW’s narrative that customers are buying ahead of further price increases.</w:t>
      </w:r>
    </w:p>
    <w:p>
      <w:pPr>
        <w:pStyle w:val="ListBullet"/>
        <w:ind w:left="360" w:hanging="360"/>
      </w:pPr>
      <w:r>
        <w:rPr>
          <w:rFonts w:ascii="Calibri" w:hAnsi="Calibri"/>
          <w:b/>
          <w:color w:val="525866"/>
          <w:sz w:val="22"/>
        </w:rPr>
        <w:t>Visibility into 2026, 2027, and parts of 2028:</w:t>
      </w:r>
      <w:r>
        <w:rPr>
          <w:rFonts w:ascii="Calibri" w:hAnsi="Calibri"/>
          <w:color w:val="525866"/>
          <w:sz w:val="22"/>
        </w:rPr>
        <w:t xml:space="preserve"> Dell has multi-year demand visibility, suggesting the infrastructure cycle is structural rather than cyclical.</w:t>
      </w:r>
    </w:p>
    <w:p>
      <w:pPr>
        <w:pStyle w:val="Heading3"/>
      </w:pPr>
      <w:r>
        <w:rPr>
          <w:rFonts w:ascii="Calibri" w:hAnsi="Calibri"/>
          <w:b/>
          <w:color w:val="3B4259"/>
          <w:sz w:val="24"/>
        </w:rPr>
        <w:t>NetApp (NTAP) — BofA Global Technology Conference (June 2, 2026) | ⭐ Positive Read-Through</w:t>
      </w:r>
    </w:p>
    <w:p>
      <w:r>
        <w:rPr>
          <w:rFonts w:ascii="Calibri" w:hAnsi="Calibri"/>
          <w:b/>
          <w:color w:val="525866"/>
          <w:sz w:val="22"/>
        </w:rPr>
        <w:t xml:space="preserve">Read-Through Signal: </w:t>
      </w:r>
      <w:r>
        <w:rPr>
          <w:rFonts w:ascii="Calibri" w:hAnsi="Calibri"/>
          <w:color w:val="525866"/>
          <w:sz w:val="22"/>
        </w:rPr>
        <w:t>Positive for CDW’s storage and enterprise IT spending narrative; mixed on gross margin given memory cost pass-through dynamics.</w:t>
      </w:r>
    </w:p>
    <w:p>
      <w:pPr>
        <w:pStyle w:val="ListBullet"/>
        <w:ind w:left="360" w:hanging="360"/>
      </w:pPr>
      <w:r>
        <w:rPr>
          <w:rFonts w:ascii="Calibri" w:hAnsi="Calibri"/>
          <w:b/>
          <w:color w:val="525866"/>
          <w:sz w:val="22"/>
        </w:rPr>
        <w:t>Broad-based demand strength and enterprise IT spending uptick:</w:t>
      </w:r>
      <w:r>
        <w:rPr>
          <w:rFonts w:ascii="Calibri" w:hAnsi="Calibri"/>
          <w:color w:val="525866"/>
          <w:sz w:val="22"/>
        </w:rPr>
        <w:t xml:space="preserve"> NetApp observed “broad-based strength in demand” and a “nice uptick in enterprise IT spending,” partly driven by increased activity in the enterprise AI space. This is a direct positive read-through for CDW’s enterprise customer spending.</w:t>
      </w:r>
    </w:p>
    <w:p>
      <w:pPr>
        <w:pStyle w:val="ListBullet"/>
        <w:ind w:left="360" w:hanging="360"/>
      </w:pPr>
      <w:r>
        <w:rPr>
          <w:rFonts w:ascii="Calibri" w:hAnsi="Calibri"/>
          <w:b/>
          <w:color w:val="525866"/>
          <w:sz w:val="22"/>
        </w:rPr>
        <w:t>Hardware refresh cycle underway:</w:t>
      </w:r>
      <w:r>
        <w:rPr>
          <w:rFonts w:ascii="Calibri" w:hAnsi="Calibri"/>
          <w:color w:val="525866"/>
          <w:sz w:val="22"/>
        </w:rPr>
        <w:t xml:space="preserve"> “A lot of the hardware assets are — have been sweated for some time, and now it feels like they are ripe for a refresh.” NetApp’s installed base churning ~1% per quarter supports a multi-year hardware refresh tailwind for CDW.</w:t>
      </w:r>
    </w:p>
    <w:p>
      <w:pPr>
        <w:pStyle w:val="ListBullet"/>
        <w:ind w:left="360" w:hanging="360"/>
      </w:pPr>
      <w:r>
        <w:rPr>
          <w:rFonts w:ascii="Calibri" w:hAnsi="Calibri"/>
          <w:b/>
          <w:color w:val="525866"/>
          <w:sz w:val="22"/>
        </w:rPr>
        <w:t>AI wins more than doubled YoY:</w:t>
      </w:r>
      <w:r>
        <w:rPr>
          <w:rFonts w:ascii="Calibri" w:hAnsi="Calibri"/>
          <w:color w:val="525866"/>
          <w:sz w:val="22"/>
        </w:rPr>
        <w:t xml:space="preserve"> NetApp tracked ~500 AI wins in Q4 FY26, more than doubled year-on-year and growing sequentially. Enterprise AI adoption is accelerating, driving storage demand.</w:t>
      </w:r>
    </w:p>
    <w:p>
      <w:pPr>
        <w:pStyle w:val="ListBullet"/>
        <w:ind w:left="360" w:hanging="360"/>
      </w:pPr>
      <w:r>
        <w:rPr>
          <w:rFonts w:ascii="Calibri" w:hAnsi="Calibri"/>
          <w:b/>
          <w:color w:val="525866"/>
          <w:sz w:val="22"/>
        </w:rPr>
        <w:t>Memory pricing inflationary; Q1 FY27 is gross margin trough:</w:t>
      </w:r>
      <w:r>
        <w:rPr>
          <w:rFonts w:ascii="Calibri" w:hAnsi="Calibri"/>
          <w:color w:val="525866"/>
          <w:sz w:val="22"/>
        </w:rPr>
        <w:t xml:space="preserve"> NetApp increased prices to pass commodity costs to customers and expects Q1 FY27 to be the trough for product gross margins, with gradual improvement thereafter. This mirrors CDW’s own gross margin narrative (Q1 2026 as trough, improvement in H2).</w:t>
      </w:r>
    </w:p>
    <w:p>
      <w:pPr>
        <w:pStyle w:val="ListBullet"/>
        <w:ind w:left="360" w:hanging="360"/>
      </w:pPr>
      <w:r>
        <w:rPr>
          <w:rFonts w:ascii="Calibri" w:hAnsi="Calibri"/>
          <w:b/>
          <w:color w:val="525866"/>
          <w:sz w:val="22"/>
        </w:rPr>
        <w:t>Supply constrained but manageable:</w:t>
      </w:r>
      <w:r>
        <w:rPr>
          <w:rFonts w:ascii="Calibri" w:hAnsi="Calibri"/>
          <w:color w:val="525866"/>
          <w:sz w:val="22"/>
        </w:rPr>
        <w:t xml:space="preserve"> NetApp is in “continuous discussions with partners and suppliers” to secure components; lead times are extending but supply is adequate for the fiscal year outlook.</w:t>
      </w:r>
    </w:p>
    <w:p>
      <w:pPr>
        <w:pStyle w:val="Heading3"/>
      </w:pPr>
      <w:r>
        <w:rPr>
          <w:rFonts w:ascii="Calibri" w:hAnsi="Calibri"/>
          <w:b/>
          <w:color w:val="3B4259"/>
          <w:sz w:val="24"/>
        </w:rPr>
        <w:t>Microsoft (MSFT) — Q4 FY2026 Earnings (July 29, 2026) | ⭐ Positive Read-Through (Cloud/AI Demand)</w:t>
      </w:r>
    </w:p>
    <w:p>
      <w:r>
        <w:rPr>
          <w:rFonts w:ascii="Calibri" w:hAnsi="Calibri"/>
          <w:b/>
          <w:color w:val="525866"/>
          <w:sz w:val="22"/>
        </w:rPr>
        <w:t xml:space="preserve">Read-Through Signal: </w:t>
      </w:r>
      <w:r>
        <w:rPr>
          <w:rFonts w:ascii="Calibri" w:hAnsi="Calibri"/>
          <w:color w:val="525866"/>
          <w:sz w:val="22"/>
        </w:rPr>
        <w:t>Positive for CDW’s AI services and software demand; mixed on PC/client device market.</w:t>
      </w:r>
    </w:p>
    <w:p>
      <w:pPr>
        <w:pStyle w:val="ListBullet"/>
        <w:ind w:left="360" w:hanging="360"/>
      </w:pPr>
      <w:r>
        <w:rPr>
          <w:rFonts w:ascii="Calibri" w:hAnsi="Calibri"/>
          <w:b/>
          <w:color w:val="525866"/>
          <w:sz w:val="22"/>
        </w:rPr>
        <w:t>Azure demand exceeds supply in a ‘relatively extreme moment’:</w:t>
      </w:r>
      <w:r>
        <w:rPr>
          <w:rFonts w:ascii="Calibri" w:hAnsi="Calibri"/>
          <w:color w:val="525866"/>
          <w:sz w:val="22"/>
        </w:rPr>
        <w:t xml:space="preserve"> Microsoft CFO Amy Hood described demand exceeding available supply as a “relatively extreme moment.” Azure revenue growth was ahead of expectations; Q1 FY27 Azure growth guided at ~45% constant currency. This validates CDW’s AI infrastructure demand narrative.</w:t>
      </w:r>
    </w:p>
    <w:p>
      <w:pPr>
        <w:pStyle w:val="ListBullet"/>
        <w:ind w:left="360" w:hanging="360"/>
      </w:pPr>
      <w:r>
        <w:rPr>
          <w:rFonts w:ascii="Calibri" w:hAnsi="Calibri"/>
          <w:b/>
          <w:color w:val="525866"/>
          <w:sz w:val="22"/>
        </w:rPr>
        <w:t>Commercial bookings grew 18% (ex-OpenAI); RPO up 84% to $678B:</w:t>
      </w:r>
      <w:r>
        <w:rPr>
          <w:rFonts w:ascii="Calibri" w:hAnsi="Calibri"/>
          <w:color w:val="525866"/>
          <w:sz w:val="22"/>
        </w:rPr>
        <w:t xml:space="preserve"> Broad customer demand across geographies and segments. Commercial RPO grew 25% ex-OpenAI, indicating durable enterprise IT spending momentum.</w:t>
      </w:r>
    </w:p>
    <w:p>
      <w:pPr>
        <w:pStyle w:val="ListBullet"/>
        <w:ind w:left="360" w:hanging="360"/>
      </w:pPr>
      <w:r>
        <w:rPr>
          <w:rFonts w:ascii="Calibri" w:hAnsi="Calibri"/>
          <w:b/>
          <w:color w:val="525866"/>
          <w:sz w:val="22"/>
        </w:rPr>
        <w:t>OEM and channel partners building inventory on component price increases:</w:t>
      </w:r>
      <w:r>
        <w:rPr>
          <w:rFonts w:ascii="Calibri" w:hAnsi="Calibri"/>
          <w:color w:val="525866"/>
          <w:sz w:val="22"/>
        </w:rPr>
        <w:t xml:space="preserve"> “OEM and channel partners continued to build inventory given increasing component prices.” This is a direct positive read-through for CDW’s hardware revenue in Q2 — channel inventory build supports CDW’s backlog conversion.</w:t>
      </w:r>
    </w:p>
    <w:p>
      <w:pPr>
        <w:pStyle w:val="ListBullet"/>
        <w:ind w:left="360" w:hanging="360"/>
      </w:pPr>
      <w:r>
        <w:rPr>
          <w:rFonts w:ascii="Calibri" w:hAnsi="Calibri"/>
          <w:b/>
          <w:color w:val="525866"/>
          <w:sz w:val="22"/>
        </w:rPr>
        <w:t>PC market headwind — Windows OEM revenue down 7%:</w:t>
      </w:r>
      <w:r>
        <w:rPr>
          <w:rFonts w:ascii="Calibri" w:hAnsi="Calibri"/>
          <w:color w:val="525866"/>
          <w:sz w:val="22"/>
        </w:rPr>
        <w:t xml:space="preserve"> Windows OEM and devices revenue decreased 7%, driven by lower PC market demand and a high prior-year comparable (Windows 10 end-of-support). FY27 Windows OEM expected to decline high teens. This is a cautionary read-through for CDW’s client device segment, which already showed muted growth in Q1 2026.</w:t>
      </w:r>
    </w:p>
    <w:p>
      <w:pPr>
        <w:pStyle w:val="ListBullet"/>
        <w:ind w:left="360" w:hanging="360"/>
      </w:pPr>
      <w:r>
        <w:rPr>
          <w:rFonts w:ascii="Calibri" w:hAnsi="Calibri"/>
          <w:b/>
          <w:color w:val="525866"/>
          <w:sz w:val="22"/>
        </w:rPr>
        <w:t>M365 Copilot seats surpassed 30M; GitHub Copilot revenue up 60%+ QoQ:</w:t>
      </w:r>
      <w:r>
        <w:rPr>
          <w:rFonts w:ascii="Calibri" w:hAnsi="Calibri"/>
          <w:color w:val="525866"/>
          <w:sz w:val="22"/>
        </w:rPr>
        <w:t xml:space="preserve"> Rapid AI software adoption supports CDW’s software and services revenue line, particularly professional services for AI implementation.</w:t>
      </w:r>
    </w:p>
    <w:p>
      <w:pPr>
        <w:pStyle w:val="Heading3"/>
      </w:pPr>
      <w:r>
        <w:rPr>
          <w:rFonts w:ascii="Calibri" w:hAnsi="Calibri"/>
          <w:b/>
          <w:color w:val="3B4259"/>
          <w:sz w:val="24"/>
        </w:rPr>
        <w:t>Broadcom (AVGO) — Q2 FY2026 Earnings (June 3, 2026) | ⭐ Positive Read-Through (AI Infrastructure Cycle)</w:t>
      </w:r>
    </w:p>
    <w:p>
      <w:r>
        <w:rPr>
          <w:rFonts w:ascii="Calibri" w:hAnsi="Calibri"/>
          <w:b/>
          <w:color w:val="525866"/>
          <w:sz w:val="22"/>
        </w:rPr>
        <w:t xml:space="preserve">Read-Through Signal: </w:t>
      </w:r>
      <w:r>
        <w:rPr>
          <w:rFonts w:ascii="Calibri" w:hAnsi="Calibri"/>
          <w:color w:val="525866"/>
          <w:sz w:val="22"/>
        </w:rPr>
        <w:t>Positive for CDW’s AI infrastructure demand narrative; less direct (Broadcom sells to hyperscalers, not enterprises via CDW).</w:t>
      </w:r>
    </w:p>
    <w:p>
      <w:pPr>
        <w:pStyle w:val="ListBullet"/>
        <w:ind w:left="360" w:hanging="360"/>
      </w:pPr>
      <w:r>
        <w:rPr>
          <w:rFonts w:ascii="Calibri" w:hAnsi="Calibri"/>
          <w:b/>
          <w:color w:val="525866"/>
          <w:sz w:val="22"/>
        </w:rPr>
        <w:t>AI semiconductor demand ‘insatiable’; visibility to 2028:</w:t>
      </w:r>
      <w:r>
        <w:rPr>
          <w:rFonts w:ascii="Calibri" w:hAnsi="Calibri"/>
          <w:color w:val="525866"/>
          <w:sz w:val="22"/>
        </w:rPr>
        <w:t xml:space="preserve"> Broadcom described AI semiconductor demand as “insatiable” with a “sustainable and steepening trajectory” through 2027–2028. Visibility extended from 2027 to 2028 in just three months. This validates the structural nature of the AI infrastructure cycle that is driving CDW’s hardware demand.</w:t>
      </w:r>
    </w:p>
    <w:p>
      <w:pPr>
        <w:pStyle w:val="ListBullet"/>
        <w:ind w:left="360" w:hanging="360"/>
      </w:pPr>
      <w:r>
        <w:rPr>
          <w:rFonts w:ascii="Calibri" w:hAnsi="Calibri"/>
          <w:b/>
          <w:color w:val="525866"/>
          <w:sz w:val="22"/>
        </w:rPr>
        <w:t>AI semiconductor revenue guided to $56B for FY2026 (+180% YoY):</w:t>
      </w:r>
      <w:r>
        <w:rPr>
          <w:rFonts w:ascii="Calibri" w:hAnsi="Calibri"/>
          <w:color w:val="525866"/>
          <w:sz w:val="22"/>
        </w:rPr>
        <w:t xml:space="preserve"> Q2 AI semiconductor revenue was a record $10.8B (+143% YoY); Q3 guided to $16B (+200%+ YoY). The scale of AI infrastructure investment is unprecedented.</w:t>
      </w:r>
    </w:p>
    <w:p>
      <w:pPr>
        <w:pStyle w:val="ListBullet"/>
        <w:ind w:left="360" w:hanging="360"/>
      </w:pPr>
      <w:r>
        <w:rPr>
          <w:rFonts w:ascii="Calibri" w:hAnsi="Calibri"/>
          <w:b/>
          <w:color w:val="525866"/>
          <w:sz w:val="22"/>
        </w:rPr>
        <w:t>Non-AI semiconductor recovery underway:</w:t>
      </w:r>
      <w:r>
        <w:rPr>
          <w:rFonts w:ascii="Calibri" w:hAnsi="Calibri"/>
          <w:color w:val="525866"/>
          <w:sz w:val="22"/>
        </w:rPr>
        <w:t xml:space="preserve"> Non-AI semiconductor revenue grew 6% YoY in Q2, with bookings exceeding $6B — “a clear indication we are on the path towards a full cyclical recovery.” Broadband, server storage, and enterprise networking all grew. This supports CDW’s broader enterprise hardware demand.</w:t>
      </w:r>
    </w:p>
    <w:p>
      <w:pPr>
        <w:pStyle w:val="ListBullet"/>
        <w:ind w:left="360" w:hanging="360"/>
      </w:pPr>
      <w:r>
        <w:rPr>
          <w:rFonts w:ascii="Calibri" w:hAnsi="Calibri"/>
          <w:b/>
          <w:color w:val="525866"/>
          <w:sz w:val="22"/>
        </w:rPr>
        <w:t>Enterprise AI still early stage:</w:t>
      </w:r>
      <w:r>
        <w:rPr>
          <w:rFonts w:ascii="Calibri" w:hAnsi="Calibri"/>
          <w:color w:val="525866"/>
          <w:sz w:val="22"/>
        </w:rPr>
        <w:t xml:space="preserve"> Broadcom noted that direct enterprise procurement of XPUs is “early stage” — most AI compute is still delivered via cloud/SaaS. This is consistent with CDW’s narrative that the enterprise AI infrastructure buildout is in early innings, with significant runway ahead.</w:t>
      </w:r>
    </w:p>
    <w:p>
      <w:pPr>
        <w:pStyle w:val="Heading3"/>
      </w:pPr>
      <w:r>
        <w:rPr>
          <w:rFonts w:ascii="Calibri" w:hAnsi="Calibri"/>
          <w:b/>
          <w:color w:val="3B4259"/>
          <w:sz w:val="24"/>
        </w:rPr>
        <w:t>IBM — Q2 2026 Earnings (July 22, 2026) | ⚠️ Key Cautionary Read-Through</w:t>
      </w:r>
    </w:p>
    <w:p>
      <w:r>
        <w:rPr>
          <w:rFonts w:ascii="Calibri" w:hAnsi="Calibri"/>
          <w:b/>
          <w:color w:val="525866"/>
          <w:sz w:val="22"/>
        </w:rPr>
        <w:t xml:space="preserve">Read-Through Signal: </w:t>
      </w:r>
      <w:r>
        <w:rPr>
          <w:rFonts w:ascii="Calibri" w:hAnsi="Calibri"/>
          <w:color w:val="525866"/>
          <w:sz w:val="22"/>
        </w:rPr>
        <w:t>Cautionary — IBM’s Q2 miss is the most important peer read-through for CDW’s Q2 print.</w:t>
      </w:r>
    </w:p>
    <w:p>
      <w:pPr>
        <w:pStyle w:val="ListBullet"/>
        <w:ind w:left="360" w:hanging="360"/>
      </w:pPr>
      <w:r>
        <w:rPr>
          <w:rFonts w:ascii="Calibri" w:hAnsi="Calibri"/>
          <w:b/>
          <w:color w:val="525866"/>
          <w:sz w:val="22"/>
        </w:rPr>
        <w:t>Large CapEx deals deferred as clients redirected budgets to hardware:</w:t>
      </w:r>
      <w:r>
        <w:rPr>
          <w:rFonts w:ascii="Calibri" w:hAnsi="Calibri"/>
          <w:color w:val="525866"/>
          <w:sz w:val="22"/>
        </w:rPr>
        <w:t xml:space="preserve"> IBM reported that “tens of large deals failed to close on the timelines we expected” in Q2 2026. The reason: clients realized that “some of the alternate purchases they were doing were increasing 30% in dollar value quarter to quarter” (i.e., servers, storage, memory) and moved budget to those areas, deferring other mission-critical purchases. This is the most direct cautionary read-through for CDW — if enterprise customers similarly front-loaded hardware spend in Q1 and pulled back on other IT categories in Q2, CDW’s revenue mix could be more hardware-heavy than expected, compressing gross margin.</w:t>
      </w:r>
    </w:p>
    <w:p>
      <w:pPr>
        <w:pStyle w:val="ListBullet"/>
        <w:ind w:left="360" w:hanging="360"/>
      </w:pPr>
      <w:r>
        <w:rPr>
          <w:rFonts w:ascii="Calibri" w:hAnsi="Calibri"/>
          <w:b/>
          <w:color w:val="525866"/>
          <w:sz w:val="22"/>
        </w:rPr>
        <w:t>IBM characterized this as deferral, not destruction:</w:t>
      </w:r>
      <w:r>
        <w:rPr>
          <w:rFonts w:ascii="Calibri" w:hAnsi="Calibri"/>
          <w:color w:val="525866"/>
          <w:sz w:val="22"/>
        </w:rPr>
        <w:t xml:space="preserve"> About a third of the deferred deals closed in the first three weeks of Q3 2026. IBM maintained its full-year revenue growth guidance at 4–5%. This suggests the demand is real but timing-shifted — consistent with CDW’s own backlog narrative.</w:t>
      </w:r>
    </w:p>
    <w:p>
      <w:pPr>
        <w:pStyle w:val="ListBullet"/>
        <w:ind w:left="360" w:hanging="360"/>
      </w:pPr>
      <w:r>
        <w:rPr>
          <w:rFonts w:ascii="Calibri" w:hAnsi="Calibri"/>
          <w:b/>
          <w:color w:val="525866"/>
          <w:sz w:val="22"/>
        </w:rPr>
        <w:t>Distributed infrastructure grew 37% — best quarter on record:</w:t>
      </w:r>
      <w:r>
        <w:rPr>
          <w:rFonts w:ascii="Calibri" w:hAnsi="Calibri"/>
          <w:color w:val="525866"/>
          <w:sz w:val="22"/>
        </w:rPr>
        <w:t xml:space="preserve"> IBM’s distributed infrastructure (servers, storage) delivered its best quarter of revenue growth on record, growing 37%. This is a direct positive read-through for CDW’s infrastructure hardware revenue.</w:t>
      </w:r>
    </w:p>
    <w:p>
      <w:pPr>
        <w:pStyle w:val="ListBullet"/>
        <w:ind w:left="360" w:hanging="360"/>
      </w:pPr>
      <w:r>
        <w:rPr>
          <w:rFonts w:ascii="Calibri" w:hAnsi="Calibri"/>
          <w:b/>
          <w:color w:val="525866"/>
          <w:sz w:val="22"/>
        </w:rPr>
        <w:t>Consulting signings grew 6%; generative AI ~50% of signings:</w:t>
      </w:r>
      <w:r>
        <w:rPr>
          <w:rFonts w:ascii="Calibri" w:hAnsi="Calibri"/>
          <w:color w:val="525866"/>
          <w:sz w:val="22"/>
        </w:rPr>
        <w:t xml:space="preserve"> IBM’s consulting business is recovering, with generative AI representing ~50% of signings and &gt;30% of backlog. This supports CDW’s professional services narrative, though CDW’s services are more implementation-focused than IBM’s strategic consulting.</w:t>
      </w:r>
    </w:p>
    <w:p>
      <w:pPr>
        <w:pStyle w:val="ListBullet"/>
        <w:ind w:left="360" w:hanging="360"/>
      </w:pPr>
      <w:r>
        <w:rPr>
          <w:rFonts w:ascii="Calibri" w:hAnsi="Calibri"/>
          <w:b/>
          <w:color w:val="525866"/>
          <w:sz w:val="22"/>
        </w:rPr>
        <w:t>Full-year software growth revised to 6–8% (from higher):</w:t>
      </w:r>
      <w:r>
        <w:rPr>
          <w:rFonts w:ascii="Calibri" w:hAnsi="Calibri"/>
          <w:color w:val="525866"/>
          <w:sz w:val="22"/>
        </w:rPr>
        <w:t xml:space="preserve"> The budget reallocation to hardware compressed software spending in Q2. This is a cautionary read-through for CDW’s software and netted-down revenue lines.</w:t>
      </w:r>
    </w:p>
    <w:p>
      <w:pPr>
        <w:pStyle w:val="Heading3"/>
      </w:pPr>
      <w:r>
        <w:rPr>
          <w:rFonts w:ascii="Calibri" w:hAnsi="Calibri"/>
          <w:b/>
          <w:color w:val="3B4259"/>
          <w:sz w:val="24"/>
        </w:rPr>
        <w:t>Accenture (ACN) — Q3 FY2026 Earnings (June 18, 2026) | ○ Neutral / Mixed Read-Through</w:t>
      </w:r>
    </w:p>
    <w:p>
      <w:r>
        <w:rPr>
          <w:rFonts w:ascii="Calibri" w:hAnsi="Calibri"/>
          <w:b/>
          <w:color w:val="525866"/>
          <w:sz w:val="22"/>
        </w:rPr>
        <w:t xml:space="preserve">Read-Through Signal: </w:t>
      </w:r>
      <w:r>
        <w:rPr>
          <w:rFonts w:ascii="Calibri" w:hAnsi="Calibri"/>
          <w:color w:val="525866"/>
          <w:sz w:val="22"/>
        </w:rPr>
        <w:t>Mixed — strong AI services demand but macro uncertainty and budget constraints are real.</w:t>
      </w:r>
    </w:p>
    <w:p>
      <w:pPr>
        <w:pStyle w:val="ListBullet"/>
        <w:ind w:left="360" w:hanging="360"/>
      </w:pPr>
      <w:r>
        <w:rPr>
          <w:rFonts w:ascii="Calibri" w:hAnsi="Calibri"/>
          <w:b/>
          <w:color w:val="525866"/>
          <w:sz w:val="22"/>
        </w:rPr>
        <w:t>Broad-based revenue growth but macro uncertainty increasing:</w:t>
      </w:r>
      <w:r>
        <w:rPr>
          <w:rFonts w:ascii="Calibri" w:hAnsi="Calibri"/>
          <w:color w:val="525866"/>
          <w:sz w:val="22"/>
        </w:rPr>
        <w:t xml:space="preserve"> Accenture delivered “strong results with broad-based revenue growth” but was impacted by Middle East conflict (~$100M revenue impact) and noted that “more of the guided range is in play” for Q4 due to macro uncertainty. Corporate IT budgets “haven’t been increasing” even with AI — spending is being redirected, not expanded.</w:t>
      </w:r>
    </w:p>
    <w:p>
      <w:pPr>
        <w:pStyle w:val="ListBullet"/>
        <w:ind w:left="360" w:hanging="360"/>
      </w:pPr>
      <w:r>
        <w:rPr>
          <w:rFonts w:ascii="Calibri" w:hAnsi="Calibri"/>
          <w:b/>
          <w:color w:val="525866"/>
          <w:sz w:val="22"/>
        </w:rPr>
        <w:t>AI is a tailwind but still early innings:</w:t>
      </w:r>
      <w:r>
        <w:rPr>
          <w:rFonts w:ascii="Calibri" w:hAnsi="Calibri"/>
          <w:color w:val="525866"/>
          <w:sz w:val="22"/>
        </w:rPr>
        <w:t xml:space="preserve"> “AI is still in the early innings” but is a “catalyst for reinvention.” Strong demand for AI enablers including data centers, cybersecurity, and managed services. Clients with more advanced digital cores are starting to take on larger AI programs.</w:t>
      </w:r>
    </w:p>
    <w:p>
      <w:pPr>
        <w:pStyle w:val="ListBullet"/>
        <w:ind w:left="360" w:hanging="360"/>
      </w:pPr>
      <w:r>
        <w:rPr>
          <w:rFonts w:ascii="Calibri" w:hAnsi="Calibri"/>
          <w:b/>
          <w:color w:val="525866"/>
          <w:sz w:val="22"/>
        </w:rPr>
        <w:t>Discretionary spend remains challenged:</w:t>
      </w:r>
      <w:r>
        <w:rPr>
          <w:rFonts w:ascii="Calibri" w:hAnsi="Calibri"/>
          <w:color w:val="525866"/>
          <w:sz w:val="22"/>
        </w:rPr>
        <w:t xml:space="preserve"> “The industry has had this challenge now for a few years on discretionary spend, which is really smaller deals.” This is a cautionary read-through for CDW’s SMB and mid-market channels, where discretionary IT spend may remain constrained.</w:t>
      </w:r>
    </w:p>
    <w:p>
      <w:pPr>
        <w:pStyle w:val="ListBullet"/>
        <w:ind w:left="360" w:hanging="360"/>
      </w:pPr>
      <w:r>
        <w:rPr>
          <w:rFonts w:ascii="Calibri" w:hAnsi="Calibri"/>
          <w:b/>
          <w:color w:val="525866"/>
          <w:sz w:val="22"/>
        </w:rPr>
        <w:t>Managed services evolving to include more AI expertise:</w:t>
      </w:r>
      <w:r>
        <w:rPr>
          <w:rFonts w:ascii="Calibri" w:hAnsi="Calibri"/>
          <w:color w:val="525866"/>
          <w:sz w:val="22"/>
        </w:rPr>
        <w:t xml:space="preserve"> Clients are asking for “more consulting and AI expertise” within managed services programs. This supports CDW’s services-forward strategy and the expectation that professional and managed services will reaccelerate in H2 2026.</w:t>
      </w:r>
    </w:p>
    <w:p>
      <w:pPr>
        <w:pStyle w:val="Heading3"/>
      </w:pPr>
      <w:r>
        <w:rPr>
          <w:rFonts w:ascii="Calibri" w:hAnsi="Calibri"/>
          <w:b/>
          <w:color w:val="3B4259"/>
          <w:sz w:val="24"/>
        </w:rPr>
        <w:t>Gartner (IT) — Q2 2026 Earnings (August 4, 2026) | ⭐ Positive Read-Through (Enterprise IT Demand)</w:t>
      </w:r>
    </w:p>
    <w:p>
      <w:r>
        <w:rPr>
          <w:rFonts w:ascii="Calibri" w:hAnsi="Calibri"/>
          <w:b/>
          <w:color w:val="525866"/>
          <w:sz w:val="22"/>
        </w:rPr>
        <w:t xml:space="preserve">Read-Through Signal: </w:t>
      </w:r>
      <w:r>
        <w:rPr>
          <w:rFonts w:ascii="Calibri" w:hAnsi="Calibri"/>
          <w:color w:val="525866"/>
          <w:sz w:val="22"/>
        </w:rPr>
        <w:t>Positive — enterprise IT demand is improving, government CV returned to positive, and AI remains the #1 demand driver.</w:t>
      </w:r>
    </w:p>
    <w:p>
      <w:pPr>
        <w:pStyle w:val="ListBullet"/>
        <w:ind w:left="360" w:hanging="360"/>
      </w:pPr>
      <w:r>
        <w:rPr>
          <w:rFonts w:ascii="Calibri" w:hAnsi="Calibri"/>
          <w:b/>
          <w:color w:val="525866"/>
          <w:sz w:val="22"/>
        </w:rPr>
        <w:t>Selling environment improved in Q2 2026:</w:t>
      </w:r>
      <w:r>
        <w:rPr>
          <w:rFonts w:ascii="Calibri" w:hAnsi="Calibri"/>
          <w:color w:val="525866"/>
          <w:sz w:val="22"/>
        </w:rPr>
        <w:t xml:space="preserve"> Gartner noted the selling environment improved during Q2, with many factors “modestly better.” Contract value (CV) growth accelerated for the second consecutive quarter, growing 2% YoY (3.3% ex-federal). This is a positive read-through for CDW’s enterprise customer spending environment.</w:t>
      </w:r>
    </w:p>
    <w:p>
      <w:pPr>
        <w:pStyle w:val="ListBullet"/>
        <w:ind w:left="360" w:hanging="360"/>
      </w:pPr>
      <w:r>
        <w:rPr>
          <w:rFonts w:ascii="Calibri" w:hAnsi="Calibri"/>
          <w:b/>
          <w:color w:val="525866"/>
          <w:sz w:val="22"/>
        </w:rPr>
        <w:t>Government CV returned to positive NCVI:</w:t>
      </w:r>
      <w:r>
        <w:rPr>
          <w:rFonts w:ascii="Calibri" w:hAnsi="Calibri"/>
          <w:color w:val="525866"/>
          <w:sz w:val="22"/>
        </w:rPr>
        <w:t xml:space="preserve"> Government contract value returned to positive net contract value increase in Q2 2026. This is a direct positive read-through for CDW’s Public segment (Government + Education), which has faced headwinds from federal budget uncertainty.</w:t>
      </w:r>
    </w:p>
    <w:p>
      <w:pPr>
        <w:pStyle w:val="ListBullet"/>
        <w:ind w:left="360" w:hanging="360"/>
      </w:pPr>
      <w:r>
        <w:rPr>
          <w:rFonts w:ascii="Calibri" w:hAnsi="Calibri"/>
          <w:b/>
          <w:color w:val="525866"/>
          <w:sz w:val="22"/>
        </w:rPr>
        <w:t>AI is the single most requested topic:</w:t>
      </w:r>
      <w:r>
        <w:rPr>
          <w:rFonts w:ascii="Calibri" w:hAnsi="Calibri"/>
          <w:color w:val="525866"/>
          <w:sz w:val="22"/>
        </w:rPr>
        <w:t xml:space="preserve"> “AI remains the single most requested topic” across CIOs, CHROs, CSOs, and CMOs. Enterprises are “reprioritizing their IT spending to shift more towards AI.” This validates CDW’s AI-first strategy and the demand for CDW’s AI implementation services.</w:t>
      </w:r>
    </w:p>
    <w:p>
      <w:pPr>
        <w:pStyle w:val="ListBullet"/>
        <w:ind w:left="360" w:hanging="360"/>
      </w:pPr>
      <w:r>
        <w:rPr>
          <w:rFonts w:ascii="Calibri" w:hAnsi="Calibri"/>
          <w:b/>
          <w:color w:val="525866"/>
          <w:sz w:val="22"/>
        </w:rPr>
        <w:t>Midsized enterprises growing mid-single digits:</w:t>
      </w:r>
      <w:r>
        <w:rPr>
          <w:rFonts w:ascii="Calibri" w:hAnsi="Calibri"/>
          <w:color w:val="525866"/>
          <w:sz w:val="22"/>
        </w:rPr>
        <w:t xml:space="preserve"> Midsized enterprise clients (revenues $100M+) grew mid-single digits YoY across both GTS and GBS. CDW’s Commercial segment (which includes mid-market) is a key revenue driver; this is a positive read-through.</w:t>
      </w:r>
    </w:p>
    <w:p>
      <w:pPr>
        <w:pStyle w:val="ListBullet"/>
        <w:ind w:left="360" w:hanging="360"/>
      </w:pPr>
      <w:r>
        <w:rPr>
          <w:rFonts w:ascii="Calibri" w:hAnsi="Calibri"/>
          <w:b/>
          <w:color w:val="525866"/>
          <w:sz w:val="22"/>
        </w:rPr>
        <w:t>Companies facing tariffs have ‘much tighter cost constraints’:</w:t>
      </w:r>
      <w:r>
        <w:rPr>
          <w:rFonts w:ascii="Calibri" w:hAnsi="Calibri"/>
          <w:color w:val="525866"/>
          <w:sz w:val="22"/>
        </w:rPr>
        <w:t xml:space="preserve"> Gartner noted that companies with tariff exposure have significantly tighter cost constraints. This is a cautionary read-through for CDW’s manufacturing and industrial customers within the Commercial segment.</w:t>
      </w:r>
    </w:p>
    <w:p>
      <w:pPr>
        <w:pStyle w:val="Heading3"/>
      </w:pPr>
      <w:r>
        <w:rPr>
          <w:rFonts w:ascii="Calibri" w:hAnsi="Calibri"/>
          <w:b/>
          <w:color w:val="3B4259"/>
          <w:sz w:val="24"/>
        </w:rPr>
        <w:t>Cisco (CSCO) — BofA Global Technology Conference (June 4, 2026) | ○ Neutral Read-Through</w:t>
      </w:r>
    </w:p>
    <w:p>
      <w:r>
        <w:rPr>
          <w:rFonts w:ascii="Calibri" w:hAnsi="Calibri"/>
          <w:b/>
          <w:color w:val="525866"/>
          <w:sz w:val="22"/>
        </w:rPr>
        <w:t xml:space="preserve">Read-Through Signal: </w:t>
      </w:r>
      <w:r>
        <w:rPr>
          <w:rFonts w:ascii="Calibri" w:hAnsi="Calibri"/>
          <w:color w:val="525866"/>
          <w:sz w:val="22"/>
        </w:rPr>
        <w:t>Neutral — strong networking and security demand but less directly relevant to CDW’s near-term revenue drivers.</w:t>
      </w:r>
    </w:p>
    <w:p>
      <w:pPr>
        <w:pStyle w:val="ListBullet"/>
        <w:ind w:left="360" w:hanging="360"/>
      </w:pPr>
      <w:r>
        <w:rPr>
          <w:rFonts w:ascii="Calibri" w:hAnsi="Calibri"/>
          <w:b/>
          <w:color w:val="525866"/>
          <w:sz w:val="22"/>
        </w:rPr>
        <w:t>Security market ‘very, very strong’:</w:t>
      </w:r>
      <w:r>
        <w:rPr>
          <w:rFonts w:ascii="Calibri" w:hAnsi="Calibri"/>
          <w:color w:val="525866"/>
          <w:sz w:val="22"/>
        </w:rPr>
        <w:t xml:space="preserve"> Cisco described the security market as “very, very strong,” with CISOs under “tremendous pressure” to secure AI use cases. The next 6–12 months will be dominated by AI security. This supports CDW’s cybersecurity services revenue line.</w:t>
      </w:r>
    </w:p>
    <w:p>
      <w:pPr>
        <w:pStyle w:val="ListBullet"/>
        <w:ind w:left="360" w:hanging="360"/>
      </w:pPr>
      <w:r>
        <w:rPr>
          <w:rFonts w:ascii="Calibri" w:hAnsi="Calibri"/>
          <w:b/>
          <w:color w:val="525866"/>
          <w:sz w:val="22"/>
        </w:rPr>
        <w:t>Legacy firewall business saw ‘very, very strong growth’ last quarter:</w:t>
      </w:r>
      <w:r>
        <w:rPr>
          <w:rFonts w:ascii="Calibri" w:hAnsi="Calibri"/>
          <w:color w:val="525866"/>
          <w:sz w:val="22"/>
        </w:rPr>
        <w:t xml:space="preserve"> Cisco’s legacy firewall business grew strongly, indicating that traditional networking hardware refresh is ongoing alongside AI infrastructure buildout. CDW distributes Cisco networking products.</w:t>
      </w:r>
    </w:p>
    <w:p>
      <w:pPr>
        <w:pStyle w:val="ListBullet"/>
        <w:ind w:left="360" w:hanging="360"/>
      </w:pPr>
      <w:r>
        <w:rPr>
          <w:rFonts w:ascii="Calibri" w:hAnsi="Calibri"/>
          <w:b/>
          <w:color w:val="525866"/>
          <w:sz w:val="22"/>
        </w:rPr>
        <w:t>Federal government orders to upgrade infrastructure for quantum readiness:</w:t>
      </w:r>
      <w:r>
        <w:rPr>
          <w:rFonts w:ascii="Calibri" w:hAnsi="Calibri"/>
          <w:color w:val="525866"/>
          <w:sz w:val="22"/>
        </w:rPr>
        <w:t xml:space="preserve"> Federal orders to update infrastructure for quantum readiness and replace end-of-life equipment will be a “big topic for the next 6-plus months.” This is a positive read-through for CDW’s Government segment networking revenue.</w:t>
      </w:r>
    </w:p>
    <w:p>
      <w:pPr>
        <w:pStyle w:val="ListBullet"/>
        <w:ind w:left="360" w:hanging="360"/>
      </w:pPr>
      <w:r>
        <w:rPr>
          <w:rFonts w:ascii="Calibri" w:hAnsi="Calibri"/>
          <w:b/>
          <w:color w:val="525866"/>
          <w:sz w:val="22"/>
        </w:rPr>
        <w:t>Improving mix and compares entering FY27 (August 2026+):</w:t>
      </w:r>
      <w:r>
        <w:rPr>
          <w:rFonts w:ascii="Calibri" w:hAnsi="Calibri"/>
          <w:color w:val="525866"/>
          <w:sz w:val="22"/>
        </w:rPr>
        <w:t xml:space="preserve"> Cisco noted that “exiting FY’26 and starting FY’27, the mix and mix compares will start improving.” This suggests the networking demand environment is improving heading into CDW’s H2 2026.</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Event / Date</w:t>
            </w:r>
          </w:p>
        </w:tc>
        <w:tc>
          <w:tcPr>
            <w:tcW w:type="dxa" w:w="2160"/>
            <w:shd w:val="clear" w:color="auto" w:fill="3B4259"/>
          </w:tcPr>
          <w:p>
            <w:r>
              <w:rPr>
                <w:rFonts w:ascii="Calibri" w:hAnsi="Calibri"/>
                <w:b/>
                <w:color w:val="FFFFFF"/>
                <w:sz w:val="22"/>
              </w:rPr>
              <w:t>Key CDW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HPE</w:t>
            </w:r>
          </w:p>
        </w:tc>
        <w:tc>
          <w:tcPr>
            <w:tcW w:type="dxa" w:w="2160"/>
          </w:tcPr>
          <w:p>
            <w:r>
              <w:rPr>
                <w:rFonts w:ascii="Calibri" w:hAnsi="Calibri"/>
                <w:sz w:val="22"/>
              </w:rPr>
              <w:t>Q2 2026 Earnings (Jun 1)</w:t>
            </w:r>
          </w:p>
        </w:tc>
        <w:tc>
          <w:tcPr>
            <w:tcW w:type="dxa" w:w="2160"/>
          </w:tcPr>
          <w:p>
            <w:r>
              <w:rPr>
                <w:rFonts w:ascii="Calibri" w:hAnsi="Calibri"/>
                <w:sz w:val="22"/>
              </w:rPr>
              <w:t>Orders doubled, record backlog, no demand cliff; supply is gating factor; server/storage orders triple digits</w:t>
            </w:r>
          </w:p>
        </w:tc>
        <w:tc>
          <w:tcPr>
            <w:tcW w:type="dxa" w:w="2160"/>
          </w:tcPr>
          <w:p>
            <w:r>
              <w:rPr>
                <w:rFonts w:ascii="Calibri" w:hAnsi="Calibri"/>
                <w:b/>
                <w:color w:val="30A46C"/>
                <w:sz w:val="22"/>
              </w:rPr>
              <w:t>Strongly Positive</w:t>
            </w:r>
          </w:p>
        </w:tc>
      </w:tr>
      <w:tr>
        <w:tc>
          <w:tcPr>
            <w:tcW w:type="dxa" w:w="2160"/>
          </w:tcPr>
          <w:p>
            <w:r>
              <w:rPr>
                <w:rFonts w:ascii="Calibri" w:hAnsi="Calibri"/>
                <w:sz w:val="22"/>
              </w:rPr>
              <w:t>Dell</w:t>
            </w:r>
          </w:p>
        </w:tc>
        <w:tc>
          <w:tcPr>
            <w:tcW w:type="dxa" w:w="2160"/>
          </w:tcPr>
          <w:p>
            <w:r>
              <w:rPr>
                <w:rFonts w:ascii="Calibri" w:hAnsi="Calibri"/>
                <w:sz w:val="22"/>
              </w:rPr>
              <w:t>BofA Tech Conf (Jun 2)</w:t>
            </w:r>
          </w:p>
        </w:tc>
        <w:tc>
          <w:tcPr>
            <w:tcW w:type="dxa" w:w="2160"/>
          </w:tcPr>
          <w:p>
            <w:r>
              <w:rPr>
                <w:rFonts w:ascii="Calibri" w:hAnsi="Calibri"/>
                <w:sz w:val="22"/>
              </w:rPr>
              <w:t>Record $53.1B backlog; AI revenue +760%; demand far exceeds supply; visibility to 2028</w:t>
            </w:r>
          </w:p>
        </w:tc>
        <w:tc>
          <w:tcPr>
            <w:tcW w:type="dxa" w:w="2160"/>
          </w:tcPr>
          <w:p>
            <w:r>
              <w:rPr>
                <w:rFonts w:ascii="Calibri" w:hAnsi="Calibri"/>
                <w:b/>
                <w:color w:val="30A46C"/>
                <w:sz w:val="22"/>
              </w:rPr>
              <w:t>Strongly Positive</w:t>
            </w:r>
          </w:p>
        </w:tc>
      </w:tr>
      <w:tr>
        <w:tc>
          <w:tcPr>
            <w:tcW w:type="dxa" w:w="2160"/>
          </w:tcPr>
          <w:p>
            <w:r>
              <w:rPr>
                <w:rFonts w:ascii="Calibri" w:hAnsi="Calibri"/>
                <w:sz w:val="22"/>
              </w:rPr>
              <w:t>NTAP</w:t>
            </w:r>
          </w:p>
        </w:tc>
        <w:tc>
          <w:tcPr>
            <w:tcW w:type="dxa" w:w="2160"/>
          </w:tcPr>
          <w:p>
            <w:r>
              <w:rPr>
                <w:rFonts w:ascii="Calibri" w:hAnsi="Calibri"/>
                <w:sz w:val="22"/>
              </w:rPr>
              <w:t>BofA Tech Conf (Jun 2)</w:t>
            </w:r>
          </w:p>
        </w:tc>
        <w:tc>
          <w:tcPr>
            <w:tcW w:type="dxa" w:w="2160"/>
          </w:tcPr>
          <w:p>
            <w:r>
              <w:rPr>
                <w:rFonts w:ascii="Calibri" w:hAnsi="Calibri"/>
                <w:sz w:val="22"/>
              </w:rPr>
              <w:t>Broad-based demand uptick; hardware refresh underway; AI wins doubled YoY; memory inflation pass-through</w:t>
            </w:r>
          </w:p>
        </w:tc>
        <w:tc>
          <w:tcPr>
            <w:tcW w:type="dxa" w:w="2160"/>
          </w:tcPr>
          <w:p>
            <w:r>
              <w:rPr>
                <w:rFonts w:ascii="Calibri" w:hAnsi="Calibri"/>
                <w:b/>
                <w:color w:val="30A46C"/>
                <w:sz w:val="22"/>
              </w:rPr>
              <w:t>Positive</w:t>
            </w:r>
          </w:p>
        </w:tc>
      </w:tr>
      <w:tr>
        <w:tc>
          <w:tcPr>
            <w:tcW w:type="dxa" w:w="2160"/>
          </w:tcPr>
          <w:p>
            <w:r>
              <w:rPr>
                <w:rFonts w:ascii="Calibri" w:hAnsi="Calibri"/>
                <w:sz w:val="22"/>
              </w:rPr>
              <w:t>MSFT</w:t>
            </w:r>
          </w:p>
        </w:tc>
        <w:tc>
          <w:tcPr>
            <w:tcW w:type="dxa" w:w="2160"/>
          </w:tcPr>
          <w:p>
            <w:r>
              <w:rPr>
                <w:rFonts w:ascii="Calibri" w:hAnsi="Calibri"/>
                <w:sz w:val="22"/>
              </w:rPr>
              <w:t>Q4 FY26 Earnings (Jul 29)</w:t>
            </w:r>
          </w:p>
        </w:tc>
        <w:tc>
          <w:tcPr>
            <w:tcW w:type="dxa" w:w="2160"/>
          </w:tcPr>
          <w:p>
            <w:r>
              <w:rPr>
                <w:rFonts w:ascii="Calibri" w:hAnsi="Calibri"/>
                <w:sz w:val="22"/>
              </w:rPr>
              <w:t>Azure demand exceeds supply; channel inventory build on component prices; PC market weak (high teens decline FY27)</w:t>
            </w:r>
          </w:p>
        </w:tc>
        <w:tc>
          <w:tcPr>
            <w:tcW w:type="dxa" w:w="2160"/>
          </w:tcPr>
          <w:p>
            <w:r>
              <w:rPr>
                <w:rFonts w:ascii="Calibri" w:hAnsi="Calibri"/>
                <w:b/>
                <w:color w:val="002FA7"/>
                <w:sz w:val="22"/>
              </w:rPr>
              <w:t>Mixed (Positive AI, Negative PC)</w:t>
            </w:r>
          </w:p>
        </w:tc>
      </w:tr>
      <w:tr>
        <w:tc>
          <w:tcPr>
            <w:tcW w:type="dxa" w:w="2160"/>
          </w:tcPr>
          <w:p>
            <w:r>
              <w:rPr>
                <w:rFonts w:ascii="Calibri" w:hAnsi="Calibri"/>
                <w:sz w:val="22"/>
              </w:rPr>
              <w:t>AVGO</w:t>
            </w:r>
          </w:p>
        </w:tc>
        <w:tc>
          <w:tcPr>
            <w:tcW w:type="dxa" w:w="2160"/>
          </w:tcPr>
          <w:p>
            <w:r>
              <w:rPr>
                <w:rFonts w:ascii="Calibri" w:hAnsi="Calibri"/>
                <w:sz w:val="22"/>
              </w:rPr>
              <w:t>Q2 FY26 Earnings (Jun 3)</w:t>
            </w:r>
          </w:p>
        </w:tc>
        <w:tc>
          <w:tcPr>
            <w:tcW w:type="dxa" w:w="2160"/>
          </w:tcPr>
          <w:p>
            <w:r>
              <w:rPr>
                <w:rFonts w:ascii="Calibri" w:hAnsi="Calibri"/>
                <w:sz w:val="22"/>
              </w:rPr>
              <w:t>AI semiconductor demand insatiable; visibility to 2028; non-AI semiconductor recovery underway</w:t>
            </w:r>
          </w:p>
        </w:tc>
        <w:tc>
          <w:tcPr>
            <w:tcW w:type="dxa" w:w="2160"/>
          </w:tcPr>
          <w:p>
            <w:r>
              <w:rPr>
                <w:rFonts w:ascii="Calibri" w:hAnsi="Calibri"/>
                <w:b/>
                <w:color w:val="30A46C"/>
                <w:sz w:val="22"/>
              </w:rPr>
              <w:t>Positive</w:t>
            </w:r>
          </w:p>
        </w:tc>
      </w:tr>
      <w:tr>
        <w:tc>
          <w:tcPr>
            <w:tcW w:type="dxa" w:w="2160"/>
          </w:tcPr>
          <w:p>
            <w:r>
              <w:rPr>
                <w:rFonts w:ascii="Calibri" w:hAnsi="Calibri"/>
                <w:sz w:val="22"/>
              </w:rPr>
              <w:t>IBM</w:t>
            </w:r>
          </w:p>
        </w:tc>
        <w:tc>
          <w:tcPr>
            <w:tcW w:type="dxa" w:w="2160"/>
          </w:tcPr>
          <w:p>
            <w:r>
              <w:rPr>
                <w:rFonts w:ascii="Calibri" w:hAnsi="Calibri"/>
                <w:sz w:val="22"/>
              </w:rPr>
              <w:t>Q2 2026 Earnings (Jul 22)</w:t>
            </w:r>
          </w:p>
        </w:tc>
        <w:tc>
          <w:tcPr>
            <w:tcW w:type="dxa" w:w="2160"/>
          </w:tcPr>
          <w:p>
            <w:r>
              <w:rPr>
                <w:rFonts w:ascii="Calibri" w:hAnsi="Calibri"/>
                <w:sz w:val="22"/>
              </w:rPr>
              <w:t>Large CapEx deals deferred as clients redirected budgets to hardware (+30% QoQ cost); distributed infra +37% (record)</w:t>
            </w:r>
          </w:p>
        </w:tc>
        <w:tc>
          <w:tcPr>
            <w:tcW w:type="dxa" w:w="2160"/>
          </w:tcPr>
          <w:p>
            <w:r>
              <w:rPr>
                <w:rFonts w:ascii="Calibri" w:hAnsi="Calibri"/>
                <w:b/>
                <w:color w:val="E5484D"/>
                <w:sz w:val="22"/>
              </w:rPr>
              <w:t>Cautionary</w:t>
            </w:r>
          </w:p>
        </w:tc>
      </w:tr>
      <w:tr>
        <w:tc>
          <w:tcPr>
            <w:tcW w:type="dxa" w:w="2160"/>
          </w:tcPr>
          <w:p>
            <w:r>
              <w:rPr>
                <w:rFonts w:ascii="Calibri" w:hAnsi="Calibri"/>
                <w:sz w:val="22"/>
              </w:rPr>
              <w:t>ACN</w:t>
            </w:r>
          </w:p>
        </w:tc>
        <w:tc>
          <w:tcPr>
            <w:tcW w:type="dxa" w:w="2160"/>
          </w:tcPr>
          <w:p>
            <w:r>
              <w:rPr>
                <w:rFonts w:ascii="Calibri" w:hAnsi="Calibri"/>
                <w:sz w:val="22"/>
              </w:rPr>
              <w:t>Q3 FY26 Earnings (Jun 18)</w:t>
            </w:r>
          </w:p>
        </w:tc>
        <w:tc>
          <w:tcPr>
            <w:tcW w:type="dxa" w:w="2160"/>
          </w:tcPr>
          <w:p>
            <w:r>
              <w:rPr>
                <w:rFonts w:ascii="Calibri" w:hAnsi="Calibri"/>
                <w:sz w:val="22"/>
              </w:rPr>
              <w:t>Broad-based growth but macro uncertainty rising; discretionary spend challenged; AI services demand strong</w:t>
            </w:r>
          </w:p>
        </w:tc>
        <w:tc>
          <w:tcPr>
            <w:tcW w:type="dxa" w:w="2160"/>
          </w:tcPr>
          <w:p>
            <w:r>
              <w:rPr>
                <w:rFonts w:ascii="Calibri" w:hAnsi="Calibri"/>
                <w:b/>
                <w:color w:val="002FA7"/>
                <w:sz w:val="22"/>
              </w:rPr>
              <w:t>Mixed</w:t>
            </w:r>
          </w:p>
        </w:tc>
      </w:tr>
      <w:tr>
        <w:tc>
          <w:tcPr>
            <w:tcW w:type="dxa" w:w="2160"/>
          </w:tcPr>
          <w:p>
            <w:r>
              <w:rPr>
                <w:rFonts w:ascii="Calibri" w:hAnsi="Calibri"/>
                <w:sz w:val="22"/>
              </w:rPr>
              <w:t>Gartner (IT)</w:t>
            </w:r>
          </w:p>
        </w:tc>
        <w:tc>
          <w:tcPr>
            <w:tcW w:type="dxa" w:w="2160"/>
          </w:tcPr>
          <w:p>
            <w:r>
              <w:rPr>
                <w:rFonts w:ascii="Calibri" w:hAnsi="Calibri"/>
                <w:sz w:val="22"/>
              </w:rPr>
              <w:t>Q2 2026 Earnings (Aug 4)</w:t>
            </w:r>
          </w:p>
        </w:tc>
        <w:tc>
          <w:tcPr>
            <w:tcW w:type="dxa" w:w="2160"/>
          </w:tcPr>
          <w:p>
            <w:r>
              <w:rPr>
                <w:rFonts w:ascii="Calibri" w:hAnsi="Calibri"/>
                <w:sz w:val="22"/>
              </w:rPr>
              <w:t>Selling environment improved; government CV positive; AI #1 demand driver; midsized enterprise growing mid-SD</w:t>
            </w:r>
          </w:p>
        </w:tc>
        <w:tc>
          <w:tcPr>
            <w:tcW w:type="dxa" w:w="2160"/>
          </w:tcPr>
          <w:p>
            <w:r>
              <w:rPr>
                <w:rFonts w:ascii="Calibri" w:hAnsi="Calibri"/>
                <w:b/>
                <w:color w:val="30A46C"/>
                <w:sz w:val="22"/>
              </w:rPr>
              <w:t>Positive</w:t>
            </w:r>
          </w:p>
        </w:tc>
      </w:tr>
      <w:tr>
        <w:tc>
          <w:tcPr>
            <w:tcW w:type="dxa" w:w="2160"/>
          </w:tcPr>
          <w:p>
            <w:r>
              <w:rPr>
                <w:rFonts w:ascii="Calibri" w:hAnsi="Calibri"/>
                <w:sz w:val="22"/>
              </w:rPr>
              <w:t>CSCO</w:t>
            </w:r>
          </w:p>
        </w:tc>
        <w:tc>
          <w:tcPr>
            <w:tcW w:type="dxa" w:w="2160"/>
          </w:tcPr>
          <w:p>
            <w:r>
              <w:rPr>
                <w:rFonts w:ascii="Calibri" w:hAnsi="Calibri"/>
                <w:sz w:val="22"/>
              </w:rPr>
              <w:t>BofA Tech Conf (Jun 4)</w:t>
            </w:r>
          </w:p>
        </w:tc>
        <w:tc>
          <w:tcPr>
            <w:tcW w:type="dxa" w:w="2160"/>
          </w:tcPr>
          <w:p>
            <w:r>
              <w:rPr>
                <w:rFonts w:ascii="Calibri" w:hAnsi="Calibri"/>
                <w:sz w:val="22"/>
              </w:rPr>
              <w:t>Security market very strong; federal infrastructure upgrade cycle; networking mix improving entering FY27</w:t>
            </w:r>
          </w:p>
        </w:tc>
        <w:tc>
          <w:tcPr>
            <w:tcW w:type="dxa" w:w="2160"/>
          </w:tcPr>
          <w:p>
            <w:r>
              <w:rPr>
                <w:rFonts w:ascii="Calibri" w:hAnsi="Calibri"/>
                <w:b/>
                <w:color w:val="002FA7"/>
                <w:sz w:val="22"/>
              </w:rPr>
              <w:t>Neutral / Positive</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Two notable open-market purchases stand out — </w:t>
      </w:r>
      <w:r>
        <w:rPr>
          <w:rFonts w:ascii="Calibri" w:hAnsi="Calibri"/>
          <w:b/>
          <w:color w:val="525866"/>
          <w:sz w:val="22"/>
        </w:rPr>
        <w:t>Director David Nelms bought 18,000 shares (~$1.8M) on May 27 and CEO Christine Leahy bought 4,830 shares (~$490K) on May 18</w:t>
      </w:r>
      <w:r>
        <w:rPr>
          <w:rFonts w:ascii="Calibri" w:hAnsi="Calibri"/>
          <w:color w:val="525866"/>
          <w:sz w:val="22"/>
        </w:rPr>
        <w:t xml:space="preserve"> — both within days of the Q1 earnings print and the $1B buyback authorization, signaling strong insider conviction at prices well below current levels. No open-market sales were filed in the period.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NELMS DAVID W</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18,000</w:t>
            </w:r>
          </w:p>
        </w:tc>
        <w:tc>
          <w:tcPr>
            <w:tcW w:type="dxa" w:w="1440"/>
          </w:tcPr>
          <w:p>
            <w:r>
              <w:rPr>
                <w:rFonts w:ascii="Calibri" w:hAnsi="Calibri"/>
                <w:sz w:val="22"/>
              </w:rPr>
              <w:t>May 27, 2026</w:t>
            </w:r>
          </w:p>
        </w:tc>
        <w:tc>
          <w:tcPr>
            <w:tcW w:type="dxa" w:w="1440"/>
          </w:tcPr>
          <w:p>
            <w:r>
              <w:rPr>
                <w:rFonts w:ascii="Calibri" w:hAnsi="Calibri"/>
                <w:sz w:val="22"/>
              </w:rPr>
              <w:t>Discretionary purchase ~21 days post Q1 earnings; stock ~$114 at time of purchase; strong conviction signal</w:t>
            </w:r>
          </w:p>
        </w:tc>
      </w:tr>
      <w:tr>
        <w:tc>
          <w:tcPr>
            <w:tcW w:type="dxa" w:w="1440"/>
          </w:tcPr>
          <w:p>
            <w:r>
              <w:rPr>
                <w:rFonts w:ascii="Calibri" w:hAnsi="Calibri"/>
                <w:sz w:val="22"/>
              </w:rPr>
              <w:t>LEAHY CHRISTINE A</w:t>
            </w:r>
          </w:p>
        </w:tc>
        <w:tc>
          <w:tcPr>
            <w:tcW w:type="dxa" w:w="1440"/>
          </w:tcPr>
          <w:p>
            <w:r>
              <w:rPr>
                <w:rFonts w:ascii="Calibri" w:hAnsi="Calibri"/>
                <w:sz w:val="22"/>
              </w:rPr>
              <w:t>CEO / Director</w:t>
            </w:r>
          </w:p>
        </w:tc>
        <w:tc>
          <w:tcPr>
            <w:tcW w:type="dxa" w:w="1440"/>
          </w:tcPr>
          <w:p>
            <w:r>
              <w:rPr>
                <w:rFonts w:ascii="Calibri" w:hAnsi="Calibri"/>
                <w:b/>
                <w:color w:val="30A46C"/>
                <w:sz w:val="22"/>
              </w:rPr>
              <w:t>Open Market Buy</w:t>
            </w:r>
          </w:p>
        </w:tc>
        <w:tc>
          <w:tcPr>
            <w:tcW w:type="dxa" w:w="1440"/>
          </w:tcPr>
          <w:p>
            <w:r>
              <w:rPr>
                <w:rFonts w:ascii="Calibri" w:hAnsi="Calibri"/>
                <w:sz w:val="22"/>
              </w:rPr>
              <w:t>4,830</w:t>
            </w:r>
          </w:p>
        </w:tc>
        <w:tc>
          <w:tcPr>
            <w:tcW w:type="dxa" w:w="1440"/>
          </w:tcPr>
          <w:p>
            <w:r>
              <w:rPr>
                <w:rFonts w:ascii="Calibri" w:hAnsi="Calibri"/>
                <w:sz w:val="22"/>
              </w:rPr>
              <w:t>May 18, 2026</w:t>
            </w:r>
          </w:p>
        </w:tc>
        <w:tc>
          <w:tcPr>
            <w:tcW w:type="dxa" w:w="1440"/>
          </w:tcPr>
          <w:p>
            <w:r>
              <w:rPr>
                <w:rFonts w:ascii="Calibri" w:hAnsi="Calibri"/>
                <w:sz w:val="22"/>
              </w:rPr>
              <w:t>Discretionary purchase ~12 days post Q1 earnings; stock ~$104 at time of purchase; CEO buying is a high-conviction signal</w:t>
            </w:r>
          </w:p>
        </w:tc>
      </w:tr>
      <w:tr>
        <w:tc>
          <w:tcPr>
            <w:tcW w:type="dxa" w:w="1440"/>
          </w:tcPr>
          <w:p>
            <w:r>
              <w:rPr>
                <w:rFonts w:ascii="Calibri" w:hAnsi="Calibri"/>
                <w:sz w:val="22"/>
              </w:rPr>
              <w:t>LEAHY CHRISTINE A</w:t>
            </w:r>
          </w:p>
        </w:tc>
        <w:tc>
          <w:tcPr>
            <w:tcW w:type="dxa" w:w="1440"/>
          </w:tcPr>
          <w:p>
            <w:r>
              <w:rPr>
                <w:rFonts w:ascii="Calibri" w:hAnsi="Calibri"/>
                <w:sz w:val="22"/>
              </w:rPr>
              <w:t>CEO / Director</w:t>
            </w:r>
          </w:p>
        </w:tc>
        <w:tc>
          <w:tcPr>
            <w:tcW w:type="dxa" w:w="1440"/>
          </w:tcPr>
          <w:p>
            <w:r>
              <w:rPr>
                <w:rFonts w:ascii="Calibri" w:hAnsi="Calibri"/>
                <w:sz w:val="22"/>
              </w:rPr>
              <w:t>Award (Grant)</w:t>
            </w:r>
          </w:p>
        </w:tc>
        <w:tc>
          <w:tcPr>
            <w:tcW w:type="dxa" w:w="1440"/>
          </w:tcPr>
          <w:p>
            <w:r>
              <w:rPr>
                <w:rFonts w:ascii="Calibri" w:hAnsi="Calibri"/>
                <w:sz w:val="22"/>
              </w:rPr>
              <w:t>298.44</w:t>
            </w:r>
          </w:p>
        </w:tc>
        <w:tc>
          <w:tcPr>
            <w:tcW w:type="dxa" w:w="1440"/>
          </w:tcPr>
          <w:p>
            <w:r>
              <w:rPr>
                <w:rFonts w:ascii="Calibri" w:hAnsi="Calibri"/>
                <w:sz w:val="22"/>
              </w:rPr>
              <w:t>Jun 10, 2026</w:t>
            </w:r>
          </w:p>
        </w:tc>
        <w:tc>
          <w:tcPr>
            <w:tcW w:type="dxa" w:w="1440"/>
          </w:tcPr>
          <w:p>
            <w:r>
              <w:rPr>
                <w:rFonts w:ascii="Calibri" w:hAnsi="Calibri"/>
                <w:sz w:val="22"/>
              </w:rPr>
              <w:t>Routine equity award; not a discretionary open-market transaction</w:t>
            </w:r>
          </w:p>
        </w:tc>
      </w:tr>
      <w:tr>
        <w:tc>
          <w:tcPr>
            <w:tcW w:type="dxa" w:w="1440"/>
          </w:tcPr>
          <w:p>
            <w:r>
              <w:rPr>
                <w:rFonts w:ascii="Calibri" w:hAnsi="Calibri"/>
                <w:sz w:val="22"/>
              </w:rPr>
              <w:t>NELMS DAVID W</w:t>
            </w:r>
          </w:p>
        </w:tc>
        <w:tc>
          <w:tcPr>
            <w:tcW w:type="dxa" w:w="1440"/>
          </w:tcPr>
          <w:p>
            <w:r>
              <w:rPr>
                <w:rFonts w:ascii="Calibri" w:hAnsi="Calibri"/>
                <w:sz w:val="22"/>
              </w:rPr>
              <w:t>Director</w:t>
            </w:r>
          </w:p>
        </w:tc>
        <w:tc>
          <w:tcPr>
            <w:tcW w:type="dxa" w:w="1440"/>
          </w:tcPr>
          <w:p>
            <w:r>
              <w:rPr>
                <w:rFonts w:ascii="Calibri" w:hAnsi="Calibri"/>
                <w:sz w:val="22"/>
              </w:rPr>
              <w:t>Award (Grant)</w:t>
            </w:r>
          </w:p>
        </w:tc>
        <w:tc>
          <w:tcPr>
            <w:tcW w:type="dxa" w:w="1440"/>
          </w:tcPr>
          <w:p>
            <w:r>
              <w:rPr>
                <w:rFonts w:ascii="Calibri" w:hAnsi="Calibri"/>
                <w:sz w:val="22"/>
              </w:rPr>
              <w:t>160.90</w:t>
            </w:r>
          </w:p>
        </w:tc>
        <w:tc>
          <w:tcPr>
            <w:tcW w:type="dxa" w:w="1440"/>
          </w:tcPr>
          <w:p>
            <w:r>
              <w:rPr>
                <w:rFonts w:ascii="Calibri" w:hAnsi="Calibri"/>
                <w:sz w:val="22"/>
              </w:rPr>
              <w:t>Jun 10, 2026</w:t>
            </w:r>
          </w:p>
        </w:tc>
        <w:tc>
          <w:tcPr>
            <w:tcW w:type="dxa" w:w="1440"/>
          </w:tcPr>
          <w:p>
            <w:r>
              <w:rPr>
                <w:rFonts w:ascii="Calibri" w:hAnsi="Calibri"/>
                <w:sz w:val="22"/>
              </w:rPr>
              <w:t>Routine equity award; not a discretionary open-market transaction</w:t>
            </w:r>
          </w:p>
        </w:tc>
      </w:tr>
      <w:tr>
        <w:tc>
          <w:tcPr>
            <w:tcW w:type="dxa" w:w="1440"/>
          </w:tcPr>
          <w:p>
            <w:r>
              <w:rPr>
                <w:rFonts w:ascii="Calibri" w:hAnsi="Calibri"/>
                <w:sz w:val="22"/>
              </w:rPr>
              <w:t>NELMS DAVID W</w:t>
            </w:r>
          </w:p>
        </w:tc>
        <w:tc>
          <w:tcPr>
            <w:tcW w:type="dxa" w:w="1440"/>
          </w:tcPr>
          <w:p>
            <w:r>
              <w:rPr>
                <w:rFonts w:ascii="Calibri" w:hAnsi="Calibri"/>
                <w:sz w:val="22"/>
              </w:rPr>
              <w:t>Director</w:t>
            </w:r>
          </w:p>
        </w:tc>
        <w:tc>
          <w:tcPr>
            <w:tcW w:type="dxa" w:w="1440"/>
          </w:tcPr>
          <w:p>
            <w:r>
              <w:rPr>
                <w:rFonts w:ascii="Calibri" w:hAnsi="Calibri"/>
                <w:sz w:val="22"/>
              </w:rPr>
              <w:t>Award (Grant)</w:t>
            </w:r>
          </w:p>
        </w:tc>
        <w:tc>
          <w:tcPr>
            <w:tcW w:type="dxa" w:w="1440"/>
          </w:tcPr>
          <w:p>
            <w:r>
              <w:rPr>
                <w:rFonts w:ascii="Calibri" w:hAnsi="Calibri"/>
                <w:sz w:val="22"/>
              </w:rPr>
              <w:t>229.00</w:t>
            </w:r>
          </w:p>
        </w:tc>
        <w:tc>
          <w:tcPr>
            <w:tcW w:type="dxa" w:w="1440"/>
          </w:tcPr>
          <w:p>
            <w:r>
              <w:rPr>
                <w:rFonts w:ascii="Calibri" w:hAnsi="Calibri"/>
                <w:sz w:val="22"/>
              </w:rPr>
              <w:t>Jul 1, 2026</w:t>
            </w:r>
          </w:p>
        </w:tc>
        <w:tc>
          <w:tcPr>
            <w:tcW w:type="dxa" w:w="1440"/>
          </w:tcPr>
          <w:p>
            <w:r>
              <w:rPr>
                <w:rFonts w:ascii="Calibri" w:hAnsi="Calibri"/>
                <w:sz w:val="22"/>
              </w:rPr>
              <w:t>Routine equity award; not a discretionary open-market transaction</w:t>
            </w:r>
          </w:p>
        </w:tc>
      </w:tr>
      <w:tr>
        <w:tc>
          <w:tcPr>
            <w:tcW w:type="dxa" w:w="1440"/>
          </w:tcPr>
          <w:p>
            <w:r>
              <w:rPr>
                <w:rFonts w:ascii="Calibri" w:hAnsi="Calibri"/>
                <w:sz w:val="22"/>
              </w:rPr>
              <w:t>Swedish Joseph</w:t>
            </w:r>
          </w:p>
        </w:tc>
        <w:tc>
          <w:tcPr>
            <w:tcW w:type="dxa" w:w="1440"/>
          </w:tcPr>
          <w:p>
            <w:r>
              <w:rPr>
                <w:rFonts w:ascii="Calibri" w:hAnsi="Calibri"/>
                <w:sz w:val="22"/>
              </w:rPr>
              <w:t>Director</w:t>
            </w:r>
          </w:p>
        </w:tc>
        <w:tc>
          <w:tcPr>
            <w:tcW w:type="dxa" w:w="1440"/>
          </w:tcPr>
          <w:p>
            <w:r>
              <w:rPr>
                <w:rFonts w:ascii="Calibri" w:hAnsi="Calibri"/>
                <w:sz w:val="22"/>
              </w:rPr>
              <w:t>Award (Grant)</w:t>
            </w:r>
          </w:p>
        </w:tc>
        <w:tc>
          <w:tcPr>
            <w:tcW w:type="dxa" w:w="1440"/>
          </w:tcPr>
          <w:p>
            <w:r>
              <w:rPr>
                <w:rFonts w:ascii="Calibri" w:hAnsi="Calibri"/>
                <w:sz w:val="22"/>
              </w:rPr>
              <w:t>208.00</w:t>
            </w:r>
          </w:p>
        </w:tc>
        <w:tc>
          <w:tcPr>
            <w:tcW w:type="dxa" w:w="1440"/>
          </w:tcPr>
          <w:p>
            <w:r>
              <w:rPr>
                <w:rFonts w:ascii="Calibri" w:hAnsi="Calibri"/>
                <w:sz w:val="22"/>
              </w:rPr>
              <w:t>Jul 1, 2026</w:t>
            </w:r>
          </w:p>
        </w:tc>
        <w:tc>
          <w:tcPr>
            <w:tcW w:type="dxa" w:w="1440"/>
          </w:tcPr>
          <w:p>
            <w:r>
              <w:rPr>
                <w:rFonts w:ascii="Calibri" w:hAnsi="Calibri"/>
                <w:sz w:val="22"/>
              </w:rPr>
              <w:t>Routine equity award; not a discretionary open-market transaction</w:t>
            </w:r>
          </w:p>
        </w:tc>
      </w:tr>
      <w:tr>
        <w:tc>
          <w:tcPr>
            <w:tcW w:type="dxa" w:w="1440"/>
          </w:tcPr>
          <w:p>
            <w:r>
              <w:rPr>
                <w:rFonts w:ascii="Calibri" w:hAnsi="Calibri"/>
                <w:sz w:val="22"/>
              </w:rPr>
              <w:t>Multiple Directors / Officers</w:t>
            </w:r>
          </w:p>
        </w:tc>
        <w:tc>
          <w:tcPr>
            <w:tcW w:type="dxa" w:w="1440"/>
          </w:tcPr>
          <w:p>
            <w:r>
              <w:rPr>
                <w:rFonts w:ascii="Calibri" w:hAnsi="Calibri"/>
                <w:sz w:val="22"/>
              </w:rPr>
              <w:t>Various</w:t>
            </w:r>
          </w:p>
        </w:tc>
        <w:tc>
          <w:tcPr>
            <w:tcW w:type="dxa" w:w="1440"/>
          </w:tcPr>
          <w:p>
            <w:r>
              <w:rPr>
                <w:rFonts w:ascii="Calibri" w:hAnsi="Calibri"/>
                <w:sz w:val="22"/>
              </w:rPr>
              <w:t>Award (Grant)</w:t>
            </w:r>
          </w:p>
        </w:tc>
        <w:tc>
          <w:tcPr>
            <w:tcW w:type="dxa" w:w="1440"/>
          </w:tcPr>
          <w:p>
            <w:r>
              <w:rPr>
                <w:rFonts w:ascii="Calibri" w:hAnsi="Calibri"/>
                <w:sz w:val="22"/>
              </w:rPr>
              <w:t>Various (small)</w:t>
            </w:r>
          </w:p>
        </w:tc>
        <w:tc>
          <w:tcPr>
            <w:tcW w:type="dxa" w:w="1440"/>
          </w:tcPr>
          <w:p>
            <w:r>
              <w:rPr>
                <w:rFonts w:ascii="Calibri" w:hAnsi="Calibri"/>
                <w:sz w:val="22"/>
              </w:rPr>
              <w:t>Jun 10, 2026</w:t>
            </w:r>
          </w:p>
        </w:tc>
        <w:tc>
          <w:tcPr>
            <w:tcW w:type="dxa" w:w="1440"/>
          </w:tcPr>
          <w:p>
            <w:r>
              <w:rPr>
                <w:rFonts w:ascii="Calibri" w:hAnsi="Calibri"/>
                <w:sz w:val="22"/>
              </w:rPr>
              <w:t>Routine annual equity grants to board members and officers (ADDICOTT, BELL, CLARIZIO, CONNELLY, FOXX, GRIER, JONES, KULEVICH, KUMAR, LOCY, MIRALLES, SANDERSON, TAN); not discretionary</w:t>
            </w:r>
          </w:p>
        </w:tc>
      </w:tr>
    </w:tbl>
    <w:p>
      <w:r>
        <w:rPr>
          <w:rFonts w:ascii="Calibri" w:hAnsi="Calibri"/>
          <w:b/>
          <w:color w:val="525866"/>
          <w:sz w:val="22"/>
        </w:rPr>
        <w:t xml:space="preserve">Analysis: </w:t>
      </w:r>
      <w:r>
        <w:rPr>
          <w:rFonts w:ascii="Calibri" w:hAnsi="Calibri"/>
          <w:color w:val="525866"/>
          <w:sz w:val="22"/>
        </w:rPr>
        <w:t>The two open-market purchases by Director Nelms (18,000 shares) and CEO Leahy (4,830 shares) in the two weeks following Q1 earnings are the most significant insider signals. Both bought at prices ($104–$114) well below the current stock price (~$154), and both are discretionary (not 10b5-1 plan, not award-related). The CEO buying open-market shares shortly after a quarter where the stock declined on earnings is a particularly strong conviction signal. No open-market sales were filed in the period, and all other transactions are routine equity awards. The absence of any insider selling despite the stock’s 41% rally since Q1 earnings is also notable.</w:t>
      </w:r>
    </w:p>
    <w:p>
      <w:r>
        <w:rPr>
          <w:rFonts w:ascii="Calibri" w:hAnsi="Calibri"/>
          <w:i/>
          <w:color w:val="525866"/>
          <w:sz w:val="22"/>
        </w:rPr>
        <w:t>Source: Insider Transaction Data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