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CDW Corporation (CDW)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CDW Corporation</w:t>
            </w:r>
          </w:p>
        </w:tc>
      </w:tr>
      <w:tr>
        <w:tc>
          <w:tcPr>
            <w:tcW w:type="dxa" w:w="4320"/>
          </w:tcPr>
          <w:p>
            <w:r>
              <w:rPr>
                <w:rFonts w:ascii="Calibri" w:hAnsi="Calibri"/>
                <w:b/>
                <w:sz w:val="22"/>
              </w:rPr>
              <w:t>Ticker</w:t>
            </w:r>
          </w:p>
        </w:tc>
        <w:tc>
          <w:tcPr>
            <w:tcW w:type="dxa" w:w="4320"/>
          </w:tcPr>
          <w:p>
            <w:r>
              <w:rPr>
                <w:rFonts w:ascii="Calibri" w:hAnsi="Calibri"/>
                <w:sz w:val="22"/>
              </w:rPr>
              <w:t>CDW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8:30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 Sub-sector</w:t>
            </w:r>
          </w:p>
        </w:tc>
        <w:tc>
          <w:tcPr>
            <w:tcW w:type="dxa" w:w="4320"/>
          </w:tcPr>
          <w:p>
            <w:r>
              <w:rPr>
                <w:rFonts w:ascii="Calibri" w:hAnsi="Calibri"/>
                <w:sz w:val="22"/>
              </w:rPr>
              <w:t>Technology — IT Solutions &amp; Distribution</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 consensus sits at the high end of management's guided range, backlog visibility is unusually strong, and the bar is achievable, but </w:t>
      </w:r>
      <w:r>
        <w:rPr>
          <w:rFonts w:ascii="Calibri" w:hAnsi="Calibri"/>
          <w:b/>
          <w:color w:val="525866"/>
          <w:sz w:val="22"/>
        </w:rPr>
        <w:t>gross margin mix</w:t>
      </w:r>
      <w:r>
        <w:rPr>
          <w:rFonts w:ascii="Calibri" w:hAnsi="Calibri"/>
          <w:color w:val="525866"/>
          <w:sz w:val="22"/>
        </w:rPr>
        <w:t xml:space="preserve"> (hardware-heavy vs. netted-down recovery) is the single biggest swing factor for how the market reacts.</w:t>
      </w:r>
    </w:p>
    <w:p>
      <w:r>
        <w:rPr>
          <w:rFonts w:ascii="Calibri" w:hAnsi="Calibri"/>
          <w:color w:val="525866"/>
          <w:sz w:val="22"/>
        </w:rPr>
        <w:t xml:space="preserve">CDW heads into Q2 2026 with one of the clearest near-term visibility windows in recent memory: management explicitly flagged that the Q1 backlog flowing into Q2 exceeded the Q1 pull-forward amount, and continued order activity through the quarter supports the guided trajectory of </w:t>
      </w:r>
      <w:r>
        <w:rPr>
          <w:rFonts w:ascii="Calibri" w:hAnsi="Calibri"/>
          <w:b/>
          <w:color w:val="525866"/>
          <w:sz w:val="22"/>
        </w:rPr>
        <w:t>mid-single-digit gross profit growth year-over-year</w:t>
      </w:r>
      <w:r>
        <w:rPr>
          <w:rFonts w:ascii="Calibri" w:hAnsi="Calibri"/>
          <w:color w:val="525866"/>
          <w:sz w:val="22"/>
        </w:rPr>
        <w:t xml:space="preserve"> and </w:t>
      </w:r>
      <w:r>
        <w:rPr>
          <w:rFonts w:ascii="Calibri" w:hAnsi="Calibri"/>
          <w:b/>
          <w:color w:val="525866"/>
          <w:sz w:val="22"/>
        </w:rPr>
        <w:t>high-single-digit non-GAAP EPS growth</w:t>
      </w:r>
      <w:r>
        <w:rPr>
          <w:rFonts w:ascii="Calibri" w:hAnsi="Calibri"/>
          <w:color w:val="525866"/>
          <w:sz w:val="22"/>
        </w:rPr>
        <w:t xml:space="preserve">. Consensus non-GAAP EPS of ~$2.80 sits at the upper end of that guided range, meaning the bar is not low — a clean beat requires either revenue upside (infrastructure hardware demand sustaining above seasonal) or a better-than-feared gross margin print as netted-down revenues begin to recover from Q1 lows. Management's tone on the Q1 call was deliberately cautious about the second half, preserving optionality, but the Q2 setup itself was framed with confidence. Estimate revisions have been modestly positive since the May 6 print — 2Q EPS moved from $2.79 to $2.80 and FY EPS from $10.60 to $10.67 — suggesting the Street has gently upgraded its view without getting aggressive. The stock has rallied ~15% over the past month (multiple re-rating from ~12x to ~13x NTM P/E) but still trades at a meaningful discount to its historical median above 20x, leaving room for further re-rating if the print confirms the hardware cycle is durable and services/netted-down mix is recovering. The key wildcard is </w:t>
      </w:r>
    </w:p>
    <w:p>
      <w:r>
        <w:rPr>
          <w:rFonts w:ascii="Calibri" w:hAnsi="Calibri"/>
          <w:b/>
          <w:color w:val="525866"/>
          <w:sz w:val="22"/>
        </w:rPr>
        <w:t>memory supply and pricing dynamics</w:t>
      </w:r>
      <w:r>
        <w:rPr>
          <w:rFonts w:ascii="Calibri" w:hAnsi="Calibri"/>
          <w:color w:val="525866"/>
          <w:sz w:val="22"/>
        </w:rPr>
        <w:t>: Apple's earnings (July 30) flagged severe memory constraints driving price increases across the supply chain, IBM noted customers shifting budgets toward supply-constrained infrastructure, and TD SYNNEX (June 25) guided Q3 with explicit caution on memory and CPU availability — all of which could either extend CDW's infrastructure hardware tailwind into Q2 or, if supply normalizes faster than expected, compress the revenue upside and accelerate the mix shift back toward lower-margin hardware.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moderately high bar — non-GAAP EPS of $2.80 sits at the top of management's guided range. </w:t>
      </w:r>
    </w:p>
    <w:p>
      <w:r>
        <w:rPr>
          <w:rFonts w:ascii="Calibri" w:hAnsi="Calibri"/>
          <w:b/>
          <w:color w:val="525866"/>
          <w:sz w:val="22"/>
        </w:rPr>
        <w:t xml:space="preserve">Key Takeaway: </w:t>
      </w:r>
      <w:r>
        <w:rPr>
          <w:rFonts w:ascii="Calibri" w:hAnsi="Calibri"/>
          <w:color w:val="525866"/>
          <w:sz w:val="22"/>
        </w:rPr>
        <w:t xml:space="preserve">Consensus is a moderately high bar — non-GAAP EPS of ~$2.80 sits at the top of management's guided range (high-single-digit YoY growth). </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$5.680B</w:t>
            </w:r>
          </w:p>
        </w:tc>
        <w:tc>
          <w:tcPr>
            <w:tcW w:type="dxa" w:w="1234"/>
          </w:tcPr>
          <w:p>
            <w:r>
              <w:rPr>
                <w:rFonts w:ascii="Calibri" w:hAnsi="Calibri"/>
                <w:sz w:val="22"/>
              </w:rPr>
              <w:t>$5.977B</w:t>
            </w:r>
          </w:p>
        </w:tc>
        <w:tc>
          <w:tcPr>
            <w:tcW w:type="dxa" w:w="1234"/>
          </w:tcPr>
          <w:p>
            <w:r>
              <w:rPr>
                <w:rFonts w:ascii="Calibri" w:hAnsi="Calibri"/>
                <w:sz w:val="22"/>
              </w:rPr>
              <w:t>$6.250B</w:t>
            </w:r>
          </w:p>
        </w:tc>
        <w:tc>
          <w:tcPr>
            <w:tcW w:type="dxa" w:w="1234"/>
          </w:tcPr>
          <w:p>
            <w:r>
              <w:rPr>
                <w:rFonts w:ascii="Calibri" w:hAnsi="Calibri"/>
                <w:sz w:val="22"/>
              </w:rPr>
              <w:t>+4.6% YoY</w:t>
            </w:r>
          </w:p>
        </w:tc>
        <w:tc>
          <w:tcPr>
            <w:tcW w:type="dxa" w:w="1234"/>
          </w:tcPr>
          <w:p>
            <w:r>
              <w:rPr>
                <w:rFonts w:ascii="Calibri" w:hAnsi="Calibri"/>
                <w:sz w:val="22"/>
              </w:rPr>
              <w:t>No explicit revenue guidance; implied by GP growth</w:t>
            </w:r>
          </w:p>
        </w:tc>
        <w:tc>
          <w:tcPr>
            <w:tcW w:type="dxa" w:w="1234"/>
          </w:tcPr>
          <w:p>
            <w:r>
              <w:rPr>
                <w:rFonts w:ascii="Calibri" w:hAnsi="Calibri"/>
                <w:sz w:val="22"/>
              </w:rPr>
              <w:t>N/A (no revenue guidance)</w:t>
            </w:r>
          </w:p>
        </w:tc>
      </w:tr>
      <w:tr>
        <w:tc>
          <w:tcPr>
            <w:tcW w:type="dxa" w:w="1234"/>
          </w:tcPr>
          <w:p>
            <w:r>
              <w:rPr>
                <w:rFonts w:ascii="Calibri" w:hAnsi="Calibri"/>
                <w:sz w:val="22"/>
              </w:rPr>
              <w:t>Gross Profit ($B)</w:t>
            </w:r>
          </w:p>
        </w:tc>
        <w:tc>
          <w:tcPr>
            <w:tcW w:type="dxa" w:w="1234"/>
          </w:tcPr>
          <w:p>
            <w:r>
              <w:rPr>
                <w:rFonts w:ascii="Calibri" w:hAnsi="Calibri"/>
                <w:sz w:val="22"/>
              </w:rPr>
              <w:t>$1.190B</w:t>
            </w:r>
          </w:p>
        </w:tc>
        <w:tc>
          <w:tcPr>
            <w:tcW w:type="dxa" w:w="1234"/>
          </w:tcPr>
          <w:p>
            <w:r>
              <w:rPr>
                <w:rFonts w:ascii="Calibri" w:hAnsi="Calibri"/>
                <w:sz w:val="22"/>
              </w:rPr>
              <w:t>$1.241B</w:t>
            </w:r>
          </w:p>
        </w:tc>
        <w:tc>
          <w:tcPr>
            <w:tcW w:type="dxa" w:w="1234"/>
          </w:tcPr>
          <w:p>
            <w:r>
              <w:rPr>
                <w:rFonts w:ascii="Calibri" w:hAnsi="Calibri"/>
                <w:sz w:val="22"/>
              </w:rPr>
              <w:t>$1.309B</w:t>
            </w:r>
          </w:p>
        </w:tc>
        <w:tc>
          <w:tcPr>
            <w:tcW w:type="dxa" w:w="1234"/>
          </w:tcPr>
          <w:p>
            <w:r>
              <w:rPr>
                <w:rFonts w:ascii="Calibri" w:hAnsi="Calibri"/>
                <w:sz w:val="22"/>
              </w:rPr>
              <w:t>+5.5% YoY</w:t>
            </w:r>
          </w:p>
        </w:tc>
        <w:tc>
          <w:tcPr>
            <w:tcW w:type="dxa" w:w="1234"/>
          </w:tcPr>
          <w:p>
            <w:r>
              <w:rPr>
                <w:rFonts w:ascii="Calibri" w:hAnsi="Calibri"/>
                <w:sz w:val="22"/>
              </w:rPr>
              <w:t>Mid-single-digit YoY growth (guided on Q1 call)</w:t>
            </w:r>
          </w:p>
        </w:tc>
        <w:tc>
          <w:tcPr>
            <w:tcW w:type="dxa" w:w="1234"/>
          </w:tcPr>
          <w:p>
            <w:r>
              <w:rPr>
                <w:rFonts w:ascii="Calibri" w:hAnsi="Calibri"/>
                <w:sz w:val="22"/>
              </w:rPr>
              <w:t>~+5.5% vs. mid-single-digit — at high end</w:t>
            </w:r>
          </w:p>
        </w:tc>
      </w:tr>
      <w:tr>
        <w:tc>
          <w:tcPr>
            <w:tcW w:type="dxa" w:w="1234"/>
          </w:tcPr>
          <w:p>
            <w:r>
              <w:rPr>
                <w:rFonts w:ascii="Calibri" w:hAnsi="Calibri"/>
                <w:sz w:val="22"/>
              </w:rPr>
              <w:t>Non-GAAP EPS (Diluted)</w:t>
            </w:r>
          </w:p>
        </w:tc>
        <w:tc>
          <w:tcPr>
            <w:tcW w:type="dxa" w:w="1234"/>
          </w:tcPr>
          <w:p>
            <w:r>
              <w:rPr>
                <w:rFonts w:ascii="Calibri" w:hAnsi="Calibri"/>
                <w:sz w:val="22"/>
              </w:rPr>
              <w:t>$2.28</w:t>
            </w:r>
          </w:p>
        </w:tc>
        <w:tc>
          <w:tcPr>
            <w:tcW w:type="dxa" w:w="1234"/>
          </w:tcPr>
          <w:p>
            <w:r>
              <w:rPr>
                <w:rFonts w:ascii="Calibri" w:hAnsi="Calibri"/>
                <w:sz w:val="22"/>
              </w:rPr>
              <w:t>$2.60</w:t>
            </w:r>
          </w:p>
        </w:tc>
        <w:tc>
          <w:tcPr>
            <w:tcW w:type="dxa" w:w="1234"/>
          </w:tcPr>
          <w:p>
            <w:r>
              <w:rPr>
                <w:rFonts w:ascii="Calibri" w:hAnsi="Calibri"/>
                <w:sz w:val="22"/>
              </w:rPr>
              <w:t>$2.80</w:t>
            </w:r>
          </w:p>
        </w:tc>
        <w:tc>
          <w:tcPr>
            <w:tcW w:type="dxa" w:w="1234"/>
          </w:tcPr>
          <w:p>
            <w:r>
              <w:rPr>
                <w:rFonts w:ascii="Calibri" w:hAnsi="Calibri"/>
                <w:b/>
                <w:color w:val="30A46C"/>
                <w:sz w:val="22"/>
              </w:rPr>
              <w:t>+7.7% YoY</w:t>
            </w:r>
          </w:p>
        </w:tc>
        <w:tc>
          <w:tcPr>
            <w:tcW w:type="dxa" w:w="1234"/>
          </w:tcPr>
          <w:p>
            <w:r>
              <w:rPr>
                <w:rFonts w:ascii="Calibri" w:hAnsi="Calibri"/>
                <w:sz w:val="22"/>
              </w:rPr>
              <w:t>High-single-digit YoY growth (guided on Q1 call)</w:t>
            </w:r>
          </w:p>
        </w:tc>
        <w:tc>
          <w:tcPr>
            <w:tcW w:type="dxa" w:w="1234"/>
          </w:tcPr>
          <w:p>
            <w:r>
              <w:rPr>
                <w:rFonts w:ascii="Calibri" w:hAnsi="Calibri"/>
                <w:sz w:val="22"/>
              </w:rPr>
              <w:t>~+7.7% vs. high-single-digit — at high end</w:t>
            </w:r>
          </w:p>
        </w:tc>
      </w:tr>
      <w:tr>
        <w:tc>
          <w:tcPr>
            <w:tcW w:type="dxa" w:w="1234"/>
          </w:tcPr>
          <w:p>
            <w:r>
              <w:rPr>
                <w:rFonts w:ascii="Calibri" w:hAnsi="Calibri"/>
                <w:sz w:val="22"/>
              </w:rPr>
              <w:t>Net Sales — Services ($M)</w:t>
            </w:r>
          </w:p>
        </w:tc>
        <w:tc>
          <w:tcPr>
            <w:tcW w:type="dxa" w:w="1234"/>
          </w:tcPr>
          <w:p>
            <w:r>
              <w:rPr>
                <w:rFonts w:ascii="Calibri" w:hAnsi="Calibri"/>
                <w:sz w:val="22"/>
              </w:rPr>
              <w:t>$480.5M</w:t>
            </w:r>
          </w:p>
        </w:tc>
        <w:tc>
          <w:tcPr>
            <w:tcW w:type="dxa" w:w="1234"/>
          </w:tcPr>
          <w:p>
            <w:r>
              <w:rPr>
                <w:rFonts w:ascii="Calibri" w:hAnsi="Calibri"/>
                <w:sz w:val="22"/>
              </w:rPr>
              <w:t>$515.2M</w:t>
            </w:r>
          </w:p>
        </w:tc>
        <w:tc>
          <w:tcPr>
            <w:tcW w:type="dxa" w:w="1234"/>
          </w:tcPr>
          <w:p>
            <w:r>
              <w:rPr>
                <w:rFonts w:ascii="Calibri" w:hAnsi="Calibri"/>
                <w:sz w:val="22"/>
              </w:rPr>
              <w:t>$542.8M</w:t>
            </w:r>
          </w:p>
        </w:tc>
        <w:tc>
          <w:tcPr>
            <w:tcW w:type="dxa" w:w="1234"/>
          </w:tcPr>
          <w:p>
            <w:r>
              <w:rPr>
                <w:rFonts w:ascii="Calibri" w:hAnsi="Calibri"/>
                <w:sz w:val="22"/>
              </w:rPr>
              <w:t>+5.4% YoY</w:t>
            </w:r>
          </w:p>
        </w:tc>
        <w:tc>
          <w:tcPr>
            <w:tcW w:type="dxa" w:w="1234"/>
          </w:tcPr>
          <w:p>
            <w:r>
              <w:rPr>
                <w:rFonts w:ascii="Calibri" w:hAnsi="Calibri"/>
                <w:sz w:val="22"/>
              </w:rPr>
              <w:t>Recovery expected; services to reaccelerate in H2</w:t>
            </w:r>
          </w:p>
        </w:tc>
        <w:tc>
          <w:tcPr>
            <w:tcW w:type="dxa" w:w="1234"/>
          </w:tcPr>
          <w:p>
            <w:r>
              <w:rPr>
                <w:rFonts w:ascii="Calibri" w:hAnsi="Calibri"/>
                <w:sz w:val="22"/>
              </w:rPr>
              <w:t>Consensus above prior year; recovery thesis intact</w:t>
            </w:r>
          </w:p>
        </w:tc>
      </w:tr>
      <w:tr>
        <w:tc>
          <w:tcPr>
            <w:tcW w:type="dxa" w:w="1234"/>
          </w:tcPr>
          <w:p>
            <w:r>
              <w:rPr>
                <w:rFonts w:ascii="Calibri" w:hAnsi="Calibri"/>
                <w:sz w:val="22"/>
              </w:rPr>
              <w:t>Net Sales — Client Devices ($B)</w:t>
            </w:r>
          </w:p>
        </w:tc>
        <w:tc>
          <w:tcPr>
            <w:tcW w:type="dxa" w:w="1234"/>
          </w:tcPr>
          <w:p>
            <w:r>
              <w:rPr>
                <w:rFonts w:ascii="Calibri" w:hAnsi="Calibri"/>
                <w:sz w:val="22"/>
              </w:rPr>
              <w:t>$1.742B</w:t>
            </w:r>
          </w:p>
        </w:tc>
        <w:tc>
          <w:tcPr>
            <w:tcW w:type="dxa" w:w="1234"/>
          </w:tcPr>
          <w:p>
            <w:r>
              <w:rPr>
                <w:rFonts w:ascii="Calibri" w:hAnsi="Calibri"/>
                <w:sz w:val="22"/>
              </w:rPr>
              <w:t>$1.940B</w:t>
            </w:r>
          </w:p>
        </w:tc>
        <w:tc>
          <w:tcPr>
            <w:tcW w:type="dxa" w:w="1234"/>
          </w:tcPr>
          <w:p>
            <w:r>
              <w:rPr>
                <w:rFonts w:ascii="Calibri" w:hAnsi="Calibri"/>
                <w:sz w:val="22"/>
              </w:rPr>
              <w:t>$1.916B</w:t>
            </w:r>
          </w:p>
        </w:tc>
        <w:tc>
          <w:tcPr>
            <w:tcW w:type="dxa" w:w="1234"/>
          </w:tcPr>
          <w:p>
            <w:r>
              <w:rPr>
                <w:rFonts w:ascii="Calibri" w:hAnsi="Calibri"/>
                <w:b/>
                <w:color w:val="E5484D"/>
                <w:sz w:val="22"/>
              </w:rPr>
              <w:t>-1.2% YoY</w:t>
            </w:r>
          </w:p>
        </w:tc>
        <w:tc>
          <w:tcPr>
            <w:tcW w:type="dxa" w:w="1234"/>
          </w:tcPr>
          <w:p>
            <w:r>
              <w:rPr>
                <w:rFonts w:ascii="Calibri" w:hAnsi="Calibri"/>
                <w:sz w:val="22"/>
              </w:rPr>
              <w:t>No explicit guidance; tough comps from tariff pull-ins</w:t>
            </w:r>
          </w:p>
        </w:tc>
        <w:tc>
          <w:tcPr>
            <w:tcW w:type="dxa" w:w="1234"/>
          </w:tcPr>
          <w:p>
            <w:r>
              <w:rPr>
                <w:rFonts w:ascii="Calibri" w:hAnsi="Calibri"/>
                <w:sz w:val="22"/>
              </w:rPr>
              <w:t>Consensus below prior year — comp headwind acknowledged</w:t>
            </w:r>
          </w:p>
        </w:tc>
      </w:tr>
      <w:tr>
        <w:tc>
          <w:tcPr>
            <w:tcW w:type="dxa" w:w="1234"/>
          </w:tcPr>
          <w:p>
            <w:r>
              <w:rPr>
                <w:rFonts w:ascii="Calibri" w:hAnsi="Calibri"/>
                <w:sz w:val="22"/>
              </w:rPr>
              <w:t>Net Sales — Enterprise &amp; Data Storage ($M)</w:t>
            </w:r>
          </w:p>
        </w:tc>
        <w:tc>
          <w:tcPr>
            <w:tcW w:type="dxa" w:w="1234"/>
          </w:tcPr>
          <w:p>
            <w:r>
              <w:rPr>
                <w:rFonts w:ascii="Calibri" w:hAnsi="Calibri"/>
                <w:sz w:val="22"/>
              </w:rPr>
              <w:t>$687.2M</w:t>
            </w:r>
          </w:p>
        </w:tc>
        <w:tc>
          <w:tcPr>
            <w:tcW w:type="dxa" w:w="1234"/>
          </w:tcPr>
          <w:p>
            <w:r>
              <w:rPr>
                <w:rFonts w:ascii="Calibri" w:hAnsi="Calibri"/>
                <w:sz w:val="22"/>
              </w:rPr>
              <w:t>$641.2M</w:t>
            </w:r>
          </w:p>
        </w:tc>
        <w:tc>
          <w:tcPr>
            <w:tcW w:type="dxa" w:w="1234"/>
          </w:tcPr>
          <w:p>
            <w:r>
              <w:rPr>
                <w:rFonts w:ascii="Calibri" w:hAnsi="Calibri"/>
                <w:sz w:val="22"/>
              </w:rPr>
              <w:t>$643.5M</w:t>
            </w:r>
          </w:p>
        </w:tc>
        <w:tc>
          <w:tcPr>
            <w:tcW w:type="dxa" w:w="1234"/>
          </w:tcPr>
          <w:p>
            <w:r>
              <w:rPr>
                <w:rFonts w:ascii="Calibri" w:hAnsi="Calibri"/>
                <w:sz w:val="22"/>
              </w:rPr>
              <w:t>+0.4% YoY</w:t>
            </w:r>
          </w:p>
        </w:tc>
        <w:tc>
          <w:tcPr>
            <w:tcW w:type="dxa" w:w="1234"/>
          </w:tcPr>
          <w:p>
            <w:r>
              <w:rPr>
                <w:rFonts w:ascii="Calibri" w:hAnsi="Calibri"/>
                <w:sz w:val="22"/>
              </w:rPr>
              <w:t>No explicit guidance; infrastructure demand elevated</w:t>
            </w:r>
          </w:p>
        </w:tc>
        <w:tc>
          <w:tcPr>
            <w:tcW w:type="dxa" w:w="1234"/>
          </w:tcPr>
          <w:p>
            <w:r>
              <w:rPr>
                <w:rFonts w:ascii="Calibri" w:hAnsi="Calibri"/>
                <w:sz w:val="22"/>
              </w:rPr>
              <w:t>Consensus roughly in line with prior year; upside possible</w:t>
            </w:r>
          </w:p>
        </w:tc>
      </w:tr>
    </w:tbl>
    <w:p>
      <w:r>
        <w:rPr>
          <w:rFonts w:ascii="Calibri" w:hAnsi="Calibri"/>
          <w:color w:val="525866"/>
          <w:sz w:val="22"/>
        </w:rPr>
        <w:t>Source: Visible Alpha Consensus and Actuals Data. All consensus figures as of August 4, 2026. Q2 2026 guidance per CDW Q1 2026 Earnings Call (May 6, 2026). Note: CDW does not provide explicit revenue guidance; gross profit and EPS are the primary guided metrics.</w:t>
      </w:r>
    </w:p>
    <w:p>
      <w:pPr>
        <w:pStyle w:val="Heading3"/>
      </w:pPr>
      <w:r>
        <w:rPr>
          <w:rFonts w:ascii="Calibri" w:hAnsi="Calibri"/>
          <w:b/>
          <w:color w:val="3B4259"/>
          <w:sz w:val="24"/>
        </w:rPr>
        <w:t>Table 2 — Beat / Miss History (Last 8 Quarters, Top 2 KPIs)</w:t>
      </w:r>
    </w:p>
    <w:p>
      <w:r>
        <w:rPr>
          <w:rFonts w:ascii="Calibri" w:hAnsi="Calibri"/>
          <w:color w:val="525866"/>
          <w:sz w:val="22"/>
        </w:rPr>
        <w:t>Top 2 KPIs: Net Sales and Non-GAAP Diluted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Net Sales Reported</w:t>
            </w:r>
          </w:p>
        </w:tc>
        <w:tc>
          <w:tcPr>
            <w:tcW w:type="dxa" w:w="1080"/>
            <w:shd w:val="clear" w:color="auto" w:fill="3B4259"/>
          </w:tcPr>
          <w:p>
            <w:r>
              <w:rPr>
                <w:rFonts w:ascii="Calibri" w:hAnsi="Calibri"/>
                <w:b/>
                <w:color w:val="FFFFFF"/>
                <w:sz w:val="22"/>
              </w:rPr>
              <w:t>Net Sales Consensus</w:t>
            </w:r>
          </w:p>
        </w:tc>
        <w:tc>
          <w:tcPr>
            <w:tcW w:type="dxa" w:w="1080"/>
            <w:shd w:val="clear" w:color="auto" w:fill="3B4259"/>
          </w:tcPr>
          <w:p>
            <w:r>
              <w:rPr>
                <w:rFonts w:ascii="Calibri" w:hAnsi="Calibri"/>
                <w:b/>
                <w:color w:val="FFFFFF"/>
                <w:sz w:val="22"/>
              </w:rPr>
              <w:t>Revenue Surprise %</w:t>
            </w:r>
          </w:p>
        </w:tc>
        <w:tc>
          <w:tcPr>
            <w:tcW w:type="dxa" w:w="1080"/>
            <w:shd w:val="clear" w:color="auto" w:fill="3B4259"/>
          </w:tcPr>
          <w:p>
            <w:r>
              <w:rPr>
                <w:rFonts w:ascii="Calibri" w:hAnsi="Calibri"/>
                <w:b/>
                <w:color w:val="FFFFFF"/>
                <w:sz w:val="22"/>
              </w:rPr>
              <w:t>Non-GAAP EPS Reported</w:t>
            </w:r>
          </w:p>
        </w:tc>
        <w:tc>
          <w:tcPr>
            <w:tcW w:type="dxa" w:w="1080"/>
            <w:shd w:val="clear" w:color="auto" w:fill="3B4259"/>
          </w:tcPr>
          <w:p>
            <w:r>
              <w:rPr>
                <w:rFonts w:ascii="Calibri" w:hAnsi="Calibri"/>
                <w:b/>
                <w:color w:val="FFFFFF"/>
                <w:sz w:val="22"/>
              </w:rPr>
              <w:t>Non-GAAP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$5.680B</w:t>
            </w:r>
          </w:p>
        </w:tc>
        <w:tc>
          <w:tcPr>
            <w:tcW w:type="dxa" w:w="1080"/>
          </w:tcPr>
          <w:p>
            <w:r>
              <w:rPr>
                <w:rFonts w:ascii="Calibri" w:hAnsi="Calibri"/>
                <w:sz w:val="22"/>
              </w:rPr>
              <w:t>$5.469B</w:t>
            </w:r>
          </w:p>
        </w:tc>
        <w:tc>
          <w:tcPr>
            <w:tcW w:type="dxa" w:w="1080"/>
          </w:tcPr>
          <w:p>
            <w:r>
              <w:rPr>
                <w:rFonts w:ascii="Calibri" w:hAnsi="Calibri"/>
                <w:b/>
                <w:color w:val="30A46C"/>
                <w:sz w:val="22"/>
              </w:rPr>
              <w:t>+3.9%</w:t>
            </w:r>
          </w:p>
        </w:tc>
        <w:tc>
          <w:tcPr>
            <w:tcW w:type="dxa" w:w="1080"/>
          </w:tcPr>
          <w:p>
            <w:r>
              <w:rPr>
                <w:rFonts w:ascii="Calibri" w:hAnsi="Calibri"/>
                <w:sz w:val="22"/>
              </w:rPr>
              <w:t>$2.28</w:t>
            </w:r>
          </w:p>
        </w:tc>
        <w:tc>
          <w:tcPr>
            <w:tcW w:type="dxa" w:w="1080"/>
          </w:tcPr>
          <w:p>
            <w:r>
              <w:rPr>
                <w:rFonts w:ascii="Calibri" w:hAnsi="Calibri"/>
                <w:sz w:val="22"/>
              </w:rPr>
              <w:t>$2.29</w:t>
            </w:r>
          </w:p>
        </w:tc>
        <w:tc>
          <w:tcPr>
            <w:tcW w:type="dxa" w:w="1080"/>
          </w:tcPr>
          <w:p>
            <w:r>
              <w:rPr>
                <w:rFonts w:ascii="Calibri" w:hAnsi="Calibri"/>
                <w:sz w:val="22"/>
              </w:rPr>
              <w:t>-0.4%</w:t>
            </w:r>
          </w:p>
        </w:tc>
        <w:tc>
          <w:tcPr>
            <w:tcW w:type="dxa" w:w="1080"/>
          </w:tcPr>
          <w:p>
            <w:r>
              <w:rPr>
                <w:rFonts w:ascii="Calibri" w:hAnsi="Calibri"/>
                <w:sz w:val="22"/>
              </w:rPr>
              <w:t>Rev Beat / EPS In-Line</w:t>
            </w:r>
          </w:p>
        </w:tc>
      </w:tr>
      <w:tr>
        <w:tc>
          <w:tcPr>
            <w:tcW w:type="dxa" w:w="1080"/>
          </w:tcPr>
          <w:p>
            <w:r>
              <w:rPr>
                <w:rFonts w:ascii="Calibri" w:hAnsi="Calibri"/>
                <w:sz w:val="22"/>
              </w:rPr>
              <w:t>Q4 2025</w:t>
            </w:r>
          </w:p>
        </w:tc>
        <w:tc>
          <w:tcPr>
            <w:tcW w:type="dxa" w:w="1080"/>
          </w:tcPr>
          <w:p>
            <w:r>
              <w:rPr>
                <w:rFonts w:ascii="Calibri" w:hAnsi="Calibri"/>
                <w:sz w:val="22"/>
              </w:rPr>
              <w:t>$5.511B</w:t>
            </w:r>
          </w:p>
        </w:tc>
        <w:tc>
          <w:tcPr>
            <w:tcW w:type="dxa" w:w="1080"/>
          </w:tcPr>
          <w:p>
            <w:r>
              <w:rPr>
                <w:rFonts w:ascii="Calibri" w:hAnsi="Calibri"/>
                <w:sz w:val="22"/>
              </w:rPr>
              <w:t>$5.344B</w:t>
            </w:r>
          </w:p>
        </w:tc>
        <w:tc>
          <w:tcPr>
            <w:tcW w:type="dxa" w:w="1080"/>
          </w:tcPr>
          <w:p>
            <w:r>
              <w:rPr>
                <w:rFonts w:ascii="Calibri" w:hAnsi="Calibri"/>
                <w:b/>
                <w:color w:val="30A46C"/>
                <w:sz w:val="22"/>
              </w:rPr>
              <w:t>+3.1%</w:t>
            </w:r>
          </w:p>
        </w:tc>
        <w:tc>
          <w:tcPr>
            <w:tcW w:type="dxa" w:w="1080"/>
          </w:tcPr>
          <w:p>
            <w:r>
              <w:rPr>
                <w:rFonts w:ascii="Calibri" w:hAnsi="Calibri"/>
                <w:sz w:val="22"/>
              </w:rPr>
              <w:t>$2.57</w:t>
            </w:r>
          </w:p>
        </w:tc>
        <w:tc>
          <w:tcPr>
            <w:tcW w:type="dxa" w:w="1080"/>
          </w:tcPr>
          <w:p>
            <w:r>
              <w:rPr>
                <w:rFonts w:ascii="Calibri" w:hAnsi="Calibri"/>
                <w:sz w:val="22"/>
              </w:rPr>
              <w:t>$2.45</w:t>
            </w:r>
          </w:p>
        </w:tc>
        <w:tc>
          <w:tcPr>
            <w:tcW w:type="dxa" w:w="1080"/>
          </w:tcPr>
          <w:p>
            <w:r>
              <w:rPr>
                <w:rFonts w:ascii="Calibri" w:hAnsi="Calibri"/>
                <w:b/>
                <w:color w:val="30A46C"/>
                <w:sz w:val="22"/>
              </w:rPr>
              <w:t>+4.9%</w:t>
            </w:r>
          </w:p>
        </w:tc>
        <w:tc>
          <w:tcPr>
            <w:tcW w:type="dxa" w:w="1080"/>
          </w:tcPr>
          <w:p>
            <w:r>
              <w:rPr>
                <w:rFonts w:ascii="Calibri" w:hAnsi="Calibri"/>
                <w:sz w:val="22"/>
              </w:rPr>
              <w:t>Double Beat</w:t>
            </w:r>
          </w:p>
        </w:tc>
      </w:tr>
      <w:tr>
        <w:tc>
          <w:tcPr>
            <w:tcW w:type="dxa" w:w="1080"/>
          </w:tcPr>
          <w:p>
            <w:r>
              <w:rPr>
                <w:rFonts w:ascii="Calibri" w:hAnsi="Calibri"/>
                <w:sz w:val="22"/>
              </w:rPr>
              <w:t>Q3 2025</w:t>
            </w:r>
          </w:p>
        </w:tc>
        <w:tc>
          <w:tcPr>
            <w:tcW w:type="dxa" w:w="1080"/>
          </w:tcPr>
          <w:p>
            <w:r>
              <w:rPr>
                <w:rFonts w:ascii="Calibri" w:hAnsi="Calibri"/>
                <w:sz w:val="22"/>
              </w:rPr>
              <w:t>$5.737B</w:t>
            </w:r>
          </w:p>
        </w:tc>
        <w:tc>
          <w:tcPr>
            <w:tcW w:type="dxa" w:w="1080"/>
          </w:tcPr>
          <w:p>
            <w:r>
              <w:rPr>
                <w:rFonts w:ascii="Calibri" w:hAnsi="Calibri"/>
                <w:sz w:val="22"/>
              </w:rPr>
              <w:t>$5.746B</w:t>
            </w:r>
          </w:p>
        </w:tc>
        <w:tc>
          <w:tcPr>
            <w:tcW w:type="dxa" w:w="1080"/>
          </w:tcPr>
          <w:p>
            <w:r>
              <w:rPr>
                <w:rFonts w:ascii="Calibri" w:hAnsi="Calibri"/>
                <w:sz w:val="22"/>
              </w:rPr>
              <w:t>-0.2%</w:t>
            </w:r>
          </w:p>
        </w:tc>
        <w:tc>
          <w:tcPr>
            <w:tcW w:type="dxa" w:w="1080"/>
          </w:tcPr>
          <w:p>
            <w:r>
              <w:rPr>
                <w:rFonts w:ascii="Calibri" w:hAnsi="Calibri"/>
                <w:sz w:val="22"/>
              </w:rPr>
              <w:t>$2.71</w:t>
            </w:r>
          </w:p>
        </w:tc>
        <w:tc>
          <w:tcPr>
            <w:tcW w:type="dxa" w:w="1080"/>
          </w:tcPr>
          <w:p>
            <w:r>
              <w:rPr>
                <w:rFonts w:ascii="Calibri" w:hAnsi="Calibri"/>
                <w:sz w:val="22"/>
              </w:rPr>
              <w:t>$2.66</w:t>
            </w:r>
          </w:p>
        </w:tc>
        <w:tc>
          <w:tcPr>
            <w:tcW w:type="dxa" w:w="1080"/>
          </w:tcPr>
          <w:p>
            <w:r>
              <w:rPr>
                <w:rFonts w:ascii="Calibri" w:hAnsi="Calibri"/>
                <w:b/>
                <w:color w:val="30A46C"/>
                <w:sz w:val="22"/>
              </w:rPr>
              <w:t>+1.9%</w:t>
            </w:r>
          </w:p>
        </w:tc>
        <w:tc>
          <w:tcPr>
            <w:tcW w:type="dxa" w:w="1080"/>
          </w:tcPr>
          <w:p>
            <w:r>
              <w:rPr>
                <w:rFonts w:ascii="Calibri" w:hAnsi="Calibri"/>
                <w:sz w:val="22"/>
              </w:rPr>
              <w:t>Rev In-Line / EPS Beat</w:t>
            </w:r>
          </w:p>
        </w:tc>
      </w:tr>
      <w:tr>
        <w:tc>
          <w:tcPr>
            <w:tcW w:type="dxa" w:w="1080"/>
          </w:tcPr>
          <w:p>
            <w:r>
              <w:rPr>
                <w:rFonts w:ascii="Calibri" w:hAnsi="Calibri"/>
                <w:sz w:val="22"/>
              </w:rPr>
              <w:t>Q2 2025</w:t>
            </w:r>
          </w:p>
        </w:tc>
        <w:tc>
          <w:tcPr>
            <w:tcW w:type="dxa" w:w="1080"/>
          </w:tcPr>
          <w:p>
            <w:r>
              <w:rPr>
                <w:rFonts w:ascii="Calibri" w:hAnsi="Calibri"/>
                <w:sz w:val="22"/>
              </w:rPr>
              <w:t>$5.977B</w:t>
            </w:r>
          </w:p>
        </w:tc>
        <w:tc>
          <w:tcPr>
            <w:tcW w:type="dxa" w:w="1080"/>
          </w:tcPr>
          <w:p>
            <w:r>
              <w:rPr>
                <w:rFonts w:ascii="Calibri" w:hAnsi="Calibri"/>
                <w:sz w:val="22"/>
              </w:rPr>
              <w:t>$5.546B</w:t>
            </w:r>
          </w:p>
        </w:tc>
        <w:tc>
          <w:tcPr>
            <w:tcW w:type="dxa" w:w="1080"/>
          </w:tcPr>
          <w:p>
            <w:r>
              <w:rPr>
                <w:rFonts w:ascii="Calibri" w:hAnsi="Calibri"/>
                <w:b/>
                <w:color w:val="30A46C"/>
                <w:sz w:val="22"/>
              </w:rPr>
              <w:t>+7.8%</w:t>
            </w:r>
          </w:p>
        </w:tc>
        <w:tc>
          <w:tcPr>
            <w:tcW w:type="dxa" w:w="1080"/>
          </w:tcPr>
          <w:p>
            <w:r>
              <w:rPr>
                <w:rFonts w:ascii="Calibri" w:hAnsi="Calibri"/>
                <w:sz w:val="22"/>
              </w:rPr>
              <w:t>$2.60</w:t>
            </w:r>
          </w:p>
        </w:tc>
        <w:tc>
          <w:tcPr>
            <w:tcW w:type="dxa" w:w="1080"/>
          </w:tcPr>
          <w:p>
            <w:r>
              <w:rPr>
                <w:rFonts w:ascii="Calibri" w:hAnsi="Calibri"/>
                <w:sz w:val="22"/>
              </w:rPr>
              <w:t>$2.51</w:t>
            </w:r>
          </w:p>
        </w:tc>
        <w:tc>
          <w:tcPr>
            <w:tcW w:type="dxa" w:w="1080"/>
          </w:tcPr>
          <w:p>
            <w:r>
              <w:rPr>
                <w:rFonts w:ascii="Calibri" w:hAnsi="Calibri"/>
                <w:b/>
                <w:color w:val="30A46C"/>
                <w:sz w:val="22"/>
              </w:rPr>
              <w:t>+3.6%</w:t>
            </w:r>
          </w:p>
        </w:tc>
        <w:tc>
          <w:tcPr>
            <w:tcW w:type="dxa" w:w="1080"/>
          </w:tcPr>
          <w:p>
            <w:r>
              <w:rPr>
                <w:rFonts w:ascii="Calibri" w:hAnsi="Calibri"/>
                <w:sz w:val="22"/>
              </w:rPr>
              <w:t>Double Beat</w:t>
            </w:r>
          </w:p>
        </w:tc>
      </w:tr>
      <w:tr>
        <w:tc>
          <w:tcPr>
            <w:tcW w:type="dxa" w:w="1080"/>
          </w:tcPr>
          <w:p>
            <w:r>
              <w:rPr>
                <w:rFonts w:ascii="Calibri" w:hAnsi="Calibri"/>
                <w:sz w:val="22"/>
              </w:rPr>
              <w:t>Q1 2025</w:t>
            </w:r>
          </w:p>
        </w:tc>
        <w:tc>
          <w:tcPr>
            <w:tcW w:type="dxa" w:w="1080"/>
          </w:tcPr>
          <w:p>
            <w:r>
              <w:rPr>
                <w:rFonts w:ascii="Calibri" w:hAnsi="Calibri"/>
                <w:sz w:val="22"/>
              </w:rPr>
              <w:t>$5.199B</w:t>
            </w:r>
          </w:p>
        </w:tc>
        <w:tc>
          <w:tcPr>
            <w:tcW w:type="dxa" w:w="1080"/>
          </w:tcPr>
          <w:p>
            <w:r>
              <w:rPr>
                <w:rFonts w:ascii="Calibri" w:hAnsi="Calibri"/>
                <w:sz w:val="22"/>
              </w:rPr>
              <w:t>$4.940B</w:t>
            </w:r>
          </w:p>
        </w:tc>
        <w:tc>
          <w:tcPr>
            <w:tcW w:type="dxa" w:w="1080"/>
          </w:tcPr>
          <w:p>
            <w:r>
              <w:rPr>
                <w:rFonts w:ascii="Calibri" w:hAnsi="Calibri"/>
                <w:b/>
                <w:color w:val="30A46C"/>
                <w:sz w:val="22"/>
              </w:rPr>
              <w:t>+5.2%</w:t>
            </w:r>
          </w:p>
        </w:tc>
        <w:tc>
          <w:tcPr>
            <w:tcW w:type="dxa" w:w="1080"/>
          </w:tcPr>
          <w:p>
            <w:r>
              <w:rPr>
                <w:rFonts w:ascii="Calibri" w:hAnsi="Calibri"/>
                <w:sz w:val="22"/>
              </w:rPr>
              <w:t>$2.15</w:t>
            </w:r>
          </w:p>
        </w:tc>
        <w:tc>
          <w:tcPr>
            <w:tcW w:type="dxa" w:w="1080"/>
          </w:tcPr>
          <w:p>
            <w:r>
              <w:rPr>
                <w:rFonts w:ascii="Calibri" w:hAnsi="Calibri"/>
                <w:sz w:val="22"/>
              </w:rPr>
              <w:t>$1.97</w:t>
            </w:r>
          </w:p>
        </w:tc>
        <w:tc>
          <w:tcPr>
            <w:tcW w:type="dxa" w:w="1080"/>
          </w:tcPr>
          <w:p>
            <w:r>
              <w:rPr>
                <w:rFonts w:ascii="Calibri" w:hAnsi="Calibri"/>
                <w:b/>
                <w:color w:val="30A46C"/>
                <w:sz w:val="22"/>
              </w:rPr>
              <w:t>+9.1%</w:t>
            </w:r>
          </w:p>
        </w:tc>
        <w:tc>
          <w:tcPr>
            <w:tcW w:type="dxa" w:w="1080"/>
          </w:tcPr>
          <w:p>
            <w:r>
              <w:rPr>
                <w:rFonts w:ascii="Calibri" w:hAnsi="Calibri"/>
                <w:sz w:val="22"/>
              </w:rPr>
              <w:t>Double Beat</w:t>
            </w:r>
          </w:p>
        </w:tc>
      </w:tr>
      <w:tr>
        <w:tc>
          <w:tcPr>
            <w:tcW w:type="dxa" w:w="1080"/>
          </w:tcPr>
          <w:p>
            <w:r>
              <w:rPr>
                <w:rFonts w:ascii="Calibri" w:hAnsi="Calibri"/>
                <w:sz w:val="22"/>
              </w:rPr>
              <w:t>Q4 2024</w:t>
            </w:r>
          </w:p>
        </w:tc>
        <w:tc>
          <w:tcPr>
            <w:tcW w:type="dxa" w:w="1080"/>
          </w:tcPr>
          <w:p>
            <w:r>
              <w:rPr>
                <w:rFonts w:ascii="Calibri" w:hAnsi="Calibri"/>
                <w:sz w:val="22"/>
              </w:rPr>
              <w:t>$5.186B</w:t>
            </w:r>
          </w:p>
        </w:tc>
        <w:tc>
          <w:tcPr>
            <w:tcW w:type="dxa" w:w="1080"/>
          </w:tcPr>
          <w:p>
            <w:r>
              <w:rPr>
                <w:rFonts w:ascii="Calibri" w:hAnsi="Calibri"/>
                <w:sz w:val="22"/>
              </w:rPr>
              <w:t>$5.041B</w:t>
            </w:r>
          </w:p>
        </w:tc>
        <w:tc>
          <w:tcPr>
            <w:tcW w:type="dxa" w:w="1080"/>
          </w:tcPr>
          <w:p>
            <w:r>
              <w:rPr>
                <w:rFonts w:ascii="Calibri" w:hAnsi="Calibri"/>
                <w:b/>
                <w:color w:val="30A46C"/>
                <w:sz w:val="22"/>
              </w:rPr>
              <w:t>+2.9%</w:t>
            </w:r>
          </w:p>
        </w:tc>
        <w:tc>
          <w:tcPr>
            <w:tcW w:type="dxa" w:w="1080"/>
          </w:tcPr>
          <w:p>
            <w:r>
              <w:rPr>
                <w:rFonts w:ascii="Calibri" w:hAnsi="Calibri"/>
                <w:sz w:val="22"/>
              </w:rPr>
              <w:t>$2.48</w:t>
            </w:r>
          </w:p>
        </w:tc>
        <w:tc>
          <w:tcPr>
            <w:tcW w:type="dxa" w:w="1080"/>
          </w:tcPr>
          <w:p>
            <w:r>
              <w:rPr>
                <w:rFonts w:ascii="Calibri" w:hAnsi="Calibri"/>
                <w:sz w:val="22"/>
              </w:rPr>
              <w:t>$2.32</w:t>
            </w:r>
          </w:p>
        </w:tc>
        <w:tc>
          <w:tcPr>
            <w:tcW w:type="dxa" w:w="1080"/>
          </w:tcPr>
          <w:p>
            <w:r>
              <w:rPr>
                <w:rFonts w:ascii="Calibri" w:hAnsi="Calibri"/>
                <w:b/>
                <w:color w:val="30A46C"/>
                <w:sz w:val="22"/>
              </w:rPr>
              <w:t>+6.9%</w:t>
            </w:r>
          </w:p>
        </w:tc>
        <w:tc>
          <w:tcPr>
            <w:tcW w:type="dxa" w:w="1080"/>
          </w:tcPr>
          <w:p>
            <w:r>
              <w:rPr>
                <w:rFonts w:ascii="Calibri" w:hAnsi="Calibri"/>
                <w:sz w:val="22"/>
              </w:rPr>
              <w:t>Double Beat</w:t>
            </w:r>
          </w:p>
        </w:tc>
      </w:tr>
      <w:tr>
        <w:tc>
          <w:tcPr>
            <w:tcW w:type="dxa" w:w="1080"/>
          </w:tcPr>
          <w:p>
            <w:r>
              <w:rPr>
                <w:rFonts w:ascii="Calibri" w:hAnsi="Calibri"/>
                <w:sz w:val="22"/>
              </w:rPr>
              <w:t>Q3 2024</w:t>
            </w:r>
          </w:p>
        </w:tc>
        <w:tc>
          <w:tcPr>
            <w:tcW w:type="dxa" w:w="1080"/>
          </w:tcPr>
          <w:p>
            <w:r>
              <w:rPr>
                <w:rFonts w:ascii="Calibri" w:hAnsi="Calibri"/>
                <w:sz w:val="22"/>
              </w:rPr>
              <w:t>$5.517B</w:t>
            </w:r>
          </w:p>
        </w:tc>
        <w:tc>
          <w:tcPr>
            <w:tcW w:type="dxa" w:w="1080"/>
          </w:tcPr>
          <w:p>
            <w:r>
              <w:rPr>
                <w:rFonts w:ascii="Calibri" w:hAnsi="Calibri"/>
                <w:sz w:val="22"/>
              </w:rPr>
              <w:t>$5.724B</w:t>
            </w:r>
          </w:p>
        </w:tc>
        <w:tc>
          <w:tcPr>
            <w:tcW w:type="dxa" w:w="1080"/>
          </w:tcPr>
          <w:p>
            <w:r>
              <w:rPr>
                <w:rFonts w:ascii="Calibri" w:hAnsi="Calibri"/>
                <w:b/>
                <w:color w:val="E5484D"/>
                <w:sz w:val="22"/>
              </w:rPr>
              <w:t>-3.6%</w:t>
            </w:r>
          </w:p>
        </w:tc>
        <w:tc>
          <w:tcPr>
            <w:tcW w:type="dxa" w:w="1080"/>
          </w:tcPr>
          <w:p>
            <w:r>
              <w:rPr>
                <w:rFonts w:ascii="Calibri" w:hAnsi="Calibri"/>
                <w:sz w:val="22"/>
              </w:rPr>
              <w:t>$2.63</w:t>
            </w:r>
          </w:p>
        </w:tc>
        <w:tc>
          <w:tcPr>
            <w:tcW w:type="dxa" w:w="1080"/>
          </w:tcPr>
          <w:p>
            <w:r>
              <w:rPr>
                <w:rFonts w:ascii="Calibri" w:hAnsi="Calibri"/>
                <w:sz w:val="22"/>
              </w:rPr>
              <w:t>$2.86</w:t>
            </w:r>
          </w:p>
        </w:tc>
        <w:tc>
          <w:tcPr>
            <w:tcW w:type="dxa" w:w="1080"/>
          </w:tcPr>
          <w:p>
            <w:r>
              <w:rPr>
                <w:rFonts w:ascii="Calibri" w:hAnsi="Calibri"/>
                <w:b/>
                <w:color w:val="E5484D"/>
                <w:sz w:val="22"/>
              </w:rPr>
              <w:t>-8.0%</w:t>
            </w:r>
          </w:p>
        </w:tc>
        <w:tc>
          <w:tcPr>
            <w:tcW w:type="dxa" w:w="1080"/>
          </w:tcPr>
          <w:p>
            <w:r>
              <w:rPr>
                <w:rFonts w:ascii="Calibri" w:hAnsi="Calibri"/>
                <w:sz w:val="22"/>
              </w:rPr>
              <w:t>Double Miss</w:t>
            </w:r>
          </w:p>
        </w:tc>
      </w:tr>
      <w:tr>
        <w:tc>
          <w:tcPr>
            <w:tcW w:type="dxa" w:w="1080"/>
          </w:tcPr>
          <w:p>
            <w:r>
              <w:rPr>
                <w:rFonts w:ascii="Calibri" w:hAnsi="Calibri"/>
                <w:sz w:val="22"/>
              </w:rPr>
              <w:t>Q2 2024</w:t>
            </w:r>
          </w:p>
        </w:tc>
        <w:tc>
          <w:tcPr>
            <w:tcW w:type="dxa" w:w="1080"/>
          </w:tcPr>
          <w:p>
            <w:r>
              <w:rPr>
                <w:rFonts w:ascii="Calibri" w:hAnsi="Calibri"/>
                <w:sz w:val="22"/>
              </w:rPr>
              <w:t>$5.097B</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$2.48*</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Source: Visible Alpha Consensus and Actuals Data. *Q2 2024 EPS is approximate from available actuals; consensus not available in VA for that period. CDW has beaten revenue consensus in 6 of the last 7 fully available quarters, with the lone miss in Q3 2024 coinciding with the federal shutdown headwind. EPS beats have been consistent when revenue surprises positively, suggesting operating leverage is intact when demand cooperates.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since the May 6 Q1 earnings call. The only post-earnings corporate action was the </w:t>
      </w:r>
    </w:p>
    <w:p>
      <w:r>
        <w:rPr>
          <w:rFonts w:ascii="Calibri" w:hAnsi="Calibri"/>
          <w:b/>
          <w:color w:val="525866"/>
          <w:sz w:val="22"/>
        </w:rPr>
        <w:t xml:space="preserve">Key Takeaway: </w:t>
      </w:r>
      <w:r>
        <w:rPr>
          <w:rFonts w:ascii="Calibri" w:hAnsi="Calibri"/>
          <w:color w:val="525866"/>
          <w:sz w:val="22"/>
        </w:rPr>
        <w:t xml:space="preserve">No formal guidance revision since the May 6 Q1 earnings call; the only post-earnings corporate action was a </w:t>
      </w:r>
    </w:p>
    <w:p>
      <w:r>
        <w:rPr>
          <w:rFonts w:ascii="Calibri" w:hAnsi="Calibri"/>
          <w:b/>
          <w:color w:val="525866"/>
          <w:sz w:val="22"/>
        </w:rPr>
        <w:t xml:space="preserve">Key Takeaway: </w:t>
      </w:r>
      <w:r>
        <w:rPr>
          <w:rFonts w:ascii="Calibri" w:hAnsi="Calibri"/>
          <w:color w:val="525866"/>
          <w:sz w:val="22"/>
        </w:rPr>
        <w:t>No formal guidance revision since the May 6 Q1 earnings call. The only post-earnings corporate action was a $1B share repurchase authorization increase (May 13), reinforcing management's conviction that the stock is dislocated. Tone is constructive for Q2 but deliberately cautious on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Gross Profit Growth (YoY)</w:t>
            </w:r>
          </w:p>
        </w:tc>
        <w:tc>
          <w:tcPr>
            <w:tcW w:type="dxa" w:w="1728"/>
          </w:tcPr>
          <w:p>
            <w:r>
              <w:rPr>
                <w:rFonts w:ascii="Calibri" w:hAnsi="Calibri"/>
                <w:sz w:val="22"/>
              </w:rPr>
              <w:t>Mid-single-digit YoY growth (high-single-digit sequential)</w:t>
            </w:r>
          </w:p>
        </w:tc>
        <w:tc>
          <w:tcPr>
            <w:tcW w:type="dxa" w:w="1728"/>
          </w:tcPr>
          <w:p>
            <w:r>
              <w:rPr>
                <w:rFonts w:ascii="Calibri" w:hAnsi="Calibri"/>
                <w:sz w:val="22"/>
              </w:rPr>
              <w:t>—</w:t>
            </w:r>
          </w:p>
        </w:tc>
        <w:tc>
          <w:tcPr>
            <w:tcW w:type="dxa" w:w="1728"/>
          </w:tcPr>
          <w:p>
            <w:r>
              <w:rPr>
                <w:rFonts w:ascii="Calibri" w:hAnsi="Calibri"/>
                <w:sz w:val="22"/>
              </w:rPr>
              <w:t>~+5.5% YoY ($1.309B vs. $1.241B)</w:t>
            </w:r>
          </w:p>
        </w:tc>
        <w:tc>
          <w:tcPr>
            <w:tcW w:type="dxa" w:w="1728"/>
          </w:tcPr>
          <w:p>
            <w:r>
              <w:rPr>
                <w:rFonts w:ascii="Calibri" w:hAnsi="Calibri"/>
                <w:sz w:val="22"/>
              </w:rPr>
              <w:t>Consensus at high end of guided range; no revision post-earnings</w:t>
            </w:r>
          </w:p>
        </w:tc>
      </w:tr>
      <w:tr>
        <w:tc>
          <w:tcPr>
            <w:tcW w:type="dxa" w:w="1728"/>
          </w:tcPr>
          <w:p>
            <w:r>
              <w:rPr>
                <w:rFonts w:ascii="Calibri" w:hAnsi="Calibri"/>
                <w:sz w:val="22"/>
              </w:rPr>
              <w:t>Q2 2026 Non-GAAP EPS Growth (YoY)</w:t>
            </w:r>
          </w:p>
        </w:tc>
        <w:tc>
          <w:tcPr>
            <w:tcW w:type="dxa" w:w="1728"/>
          </w:tcPr>
          <w:p>
            <w:r>
              <w:rPr>
                <w:rFonts w:ascii="Calibri" w:hAnsi="Calibri"/>
                <w:sz w:val="22"/>
              </w:rPr>
              <w:t>High-single-digit YoY growth</w:t>
            </w:r>
          </w:p>
        </w:tc>
        <w:tc>
          <w:tcPr>
            <w:tcW w:type="dxa" w:w="1728"/>
          </w:tcPr>
          <w:p>
            <w:r>
              <w:rPr>
                <w:rFonts w:ascii="Calibri" w:hAnsi="Calibri"/>
                <w:sz w:val="22"/>
              </w:rPr>
              <w:t>—</w:t>
            </w:r>
          </w:p>
        </w:tc>
        <w:tc>
          <w:tcPr>
            <w:tcW w:type="dxa" w:w="1728"/>
          </w:tcPr>
          <w:p>
            <w:r>
              <w:rPr>
                <w:rFonts w:ascii="Calibri" w:hAnsi="Calibri"/>
                <w:sz w:val="22"/>
              </w:rPr>
              <w:t>$2.80 (+7.7% YoY)</w:t>
            </w:r>
          </w:p>
        </w:tc>
        <w:tc>
          <w:tcPr>
            <w:tcW w:type="dxa" w:w="1728"/>
          </w:tcPr>
          <w:p>
            <w:r>
              <w:rPr>
                <w:rFonts w:ascii="Calibri" w:hAnsi="Calibri"/>
                <w:sz w:val="22"/>
              </w:rPr>
              <w:t>Consensus at top of guided range; no revision post-earnings</w:t>
            </w:r>
          </w:p>
        </w:tc>
      </w:tr>
      <w:tr>
        <w:tc>
          <w:tcPr>
            <w:tcW w:type="dxa" w:w="1728"/>
          </w:tcPr>
          <w:p>
            <w:r>
              <w:rPr>
                <w:rFonts w:ascii="Calibri" w:hAnsi="Calibri"/>
                <w:sz w:val="22"/>
              </w:rPr>
              <w:t>FY 2026 Gross Profit Growth (YoY)</w:t>
            </w:r>
          </w:p>
        </w:tc>
        <w:tc>
          <w:tcPr>
            <w:tcW w:type="dxa" w:w="1728"/>
          </w:tcPr>
          <w:p>
            <w:r>
              <w:rPr>
                <w:rFonts w:ascii="Calibri" w:hAnsi="Calibri"/>
                <w:sz w:val="22"/>
              </w:rPr>
              <w:t>Low-to-mid single digits (updated from prior low-single-digit)</w:t>
            </w:r>
          </w:p>
        </w:tc>
        <w:tc>
          <w:tcPr>
            <w:tcW w:type="dxa" w:w="1728"/>
          </w:tcPr>
          <w:p>
            <w:r>
              <w:rPr>
                <w:rFonts w:ascii="Calibri" w:hAnsi="Calibri"/>
                <w:sz w:val="22"/>
              </w:rPr>
              <w:t>—</w:t>
            </w:r>
          </w:p>
        </w:tc>
        <w:tc>
          <w:tcPr>
            <w:tcW w:type="dxa" w:w="1728"/>
          </w:tcPr>
          <w:p>
            <w:r>
              <w:rPr>
                <w:rFonts w:ascii="Calibri" w:hAnsi="Calibri"/>
                <w:sz w:val="22"/>
              </w:rPr>
              <w:t>~+5.5% YoY ($5.090B vs. $4.826B)</w:t>
            </w:r>
          </w:p>
        </w:tc>
        <w:tc>
          <w:tcPr>
            <w:tcW w:type="dxa" w:w="1728"/>
          </w:tcPr>
          <w:p>
            <w:r>
              <w:rPr>
                <w:rFonts w:ascii="Calibri" w:hAnsi="Calibri"/>
                <w:sz w:val="22"/>
              </w:rPr>
              <w:t>Consensus above midpoint of guidance range; reflects Q1 beat carry-through</w:t>
            </w:r>
          </w:p>
        </w:tc>
      </w:tr>
      <w:tr>
        <w:tc>
          <w:tcPr>
            <w:tcW w:type="dxa" w:w="1728"/>
          </w:tcPr>
          <w:p>
            <w:r>
              <w:rPr>
                <w:rFonts w:ascii="Calibri" w:hAnsi="Calibri"/>
                <w:sz w:val="22"/>
              </w:rPr>
              <w:t>FY 2026 Gross Margin</w:t>
            </w:r>
          </w:p>
        </w:tc>
        <w:tc>
          <w:tcPr>
            <w:tcW w:type="dxa" w:w="1728"/>
          </w:tcPr>
          <w:p>
            <w:r>
              <w:rPr>
                <w:rFonts w:ascii="Calibri" w:hAnsi="Calibri"/>
                <w:sz w:val="22"/>
              </w:rPr>
              <w:t>Approximately in line with 2025 levels (updated from prior modest expansion)</w:t>
            </w:r>
          </w:p>
        </w:tc>
        <w:tc>
          <w:tcPr>
            <w:tcW w:type="dxa" w:w="1728"/>
          </w:tcPr>
          <w:p>
            <w:r>
              <w:rPr>
                <w:rFonts w:ascii="Calibri" w:hAnsi="Calibri"/>
                <w:sz w:val="22"/>
              </w:rPr>
              <w:t>—</w:t>
            </w:r>
          </w:p>
        </w:tc>
        <w:tc>
          <w:tcPr>
            <w:tcW w:type="dxa" w:w="1728"/>
          </w:tcPr>
          <w:p>
            <w:r>
              <w:rPr>
                <w:rFonts w:ascii="Calibri" w:hAnsi="Calibri"/>
                <w:sz w:val="22"/>
              </w:rPr>
              <w:t>N/A — not tracked as standalone consensus KPI in VA</w:t>
            </w:r>
          </w:p>
        </w:tc>
        <w:tc>
          <w:tcPr>
            <w:tcW w:type="dxa" w:w="1728"/>
          </w:tcPr>
          <w:p>
            <w:r>
              <w:rPr>
                <w:rFonts w:ascii="Calibri" w:hAnsi="Calibri"/>
                <w:sz w:val="22"/>
              </w:rPr>
              <w:t>Hardware-heavy mix drove guidance revision lower; netted-down recovery expected in H2</w:t>
            </w:r>
          </w:p>
        </w:tc>
      </w:tr>
      <w:tr>
        <w:tc>
          <w:tcPr>
            <w:tcW w:type="dxa" w:w="1728"/>
          </w:tcPr>
          <w:p>
            <w:r>
              <w:rPr>
                <w:rFonts w:ascii="Calibri" w:hAnsi="Calibri"/>
                <w:sz w:val="22"/>
              </w:rPr>
              <w:t>FY 2026 Non-GAAP EPS Growth (YoY)</w:t>
            </w:r>
          </w:p>
        </w:tc>
        <w:tc>
          <w:tcPr>
            <w:tcW w:type="dxa" w:w="1728"/>
          </w:tcPr>
          <w:p>
            <w:r>
              <w:rPr>
                <w:rFonts w:ascii="Calibri" w:hAnsi="Calibri"/>
                <w:sz w:val="22"/>
              </w:rPr>
              <w:t>High end of mid-single-digit YoY growth</w:t>
            </w:r>
          </w:p>
        </w:tc>
        <w:tc>
          <w:tcPr>
            <w:tcW w:type="dxa" w:w="1728"/>
          </w:tcPr>
          <w:p>
            <w:r>
              <w:rPr>
                <w:rFonts w:ascii="Calibri" w:hAnsi="Calibri"/>
                <w:sz w:val="22"/>
              </w:rPr>
              <w:t>—</w:t>
            </w:r>
          </w:p>
        </w:tc>
        <w:tc>
          <w:tcPr>
            <w:tcW w:type="dxa" w:w="1728"/>
          </w:tcPr>
          <w:p>
            <w:r>
              <w:rPr>
                <w:rFonts w:ascii="Calibri" w:hAnsi="Calibri"/>
                <w:sz w:val="22"/>
              </w:rPr>
              <w:t>$10.67 (+5.7% YoY)</w:t>
            </w:r>
          </w:p>
        </w:tc>
        <w:tc>
          <w:tcPr>
            <w:tcW w:type="dxa" w:w="1728"/>
          </w:tcPr>
          <w:p>
            <w:r>
              <w:rPr>
                <w:rFonts w:ascii="Calibri" w:hAnsi="Calibri"/>
                <w:sz w:val="22"/>
              </w:rPr>
              <w:t>Consensus consistent with guidance; buyback accretion supports EPS even if GP growth is modest</w:t>
            </w:r>
          </w:p>
        </w:tc>
      </w:tr>
      <w:tr>
        <w:tc>
          <w:tcPr>
            <w:tcW w:type="dxa" w:w="1728"/>
          </w:tcPr>
          <w:p>
            <w:r>
              <w:rPr>
                <w:rFonts w:ascii="Calibri" w:hAnsi="Calibri"/>
                <w:sz w:val="22"/>
              </w:rPr>
              <w:t>US IT Market Growth (FY 2026)</w:t>
            </w:r>
          </w:p>
        </w:tc>
        <w:tc>
          <w:tcPr>
            <w:tcW w:type="dxa" w:w="1728"/>
          </w:tcPr>
          <w:p>
            <w:r>
              <w:rPr>
                <w:rFonts w:ascii="Calibri" w:hAnsi="Calibri"/>
                <w:sz w:val="22"/>
              </w:rPr>
              <w:t>Low single digits; CDW targets 200–300 bps outperformance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held this view on Q1 call</w:t>
            </w:r>
          </w:p>
        </w:tc>
      </w:tr>
      <w:tr>
        <w:tc>
          <w:tcPr>
            <w:tcW w:type="dxa" w:w="1728"/>
          </w:tcPr>
          <w:p>
            <w:r>
              <w:rPr>
                <w:rFonts w:ascii="Calibri" w:hAnsi="Calibri"/>
                <w:sz w:val="22"/>
              </w:rPr>
              <w:t>Share Repurchase Authorization</w:t>
            </w:r>
          </w:p>
        </w:tc>
        <w:tc>
          <w:tcPr>
            <w:tcW w:type="dxa" w:w="1728"/>
          </w:tcPr>
          <w:p>
            <w:r>
              <w:rPr>
                <w:rFonts w:ascii="Calibri" w:hAnsi="Calibri"/>
                <w:sz w:val="22"/>
              </w:rPr>
              <w:t>~$484M remaining as of March 31, 2026</w:t>
            </w:r>
          </w:p>
        </w:tc>
        <w:tc>
          <w:tcPr>
            <w:tcW w:type="dxa" w:w="1728"/>
          </w:tcPr>
          <w:p>
            <w:r>
              <w:rPr>
                <w:rFonts w:ascii="Calibri" w:hAnsi="Calibri"/>
                <w:sz w:val="22"/>
              </w:rPr>
              <w:t>↑ $1B increase authorized May 13, 2026 (8-K)</w:t>
            </w:r>
          </w:p>
        </w:tc>
        <w:tc>
          <w:tcPr>
            <w:tcW w:type="dxa" w:w="1728"/>
          </w:tcPr>
          <w:p>
            <w:r>
              <w:rPr>
                <w:rFonts w:ascii="Calibri" w:hAnsi="Calibri"/>
                <w:sz w:val="22"/>
              </w:rPr>
              <w:t>~$1.484B total available</w:t>
            </w:r>
          </w:p>
        </w:tc>
        <w:tc>
          <w:tcPr>
            <w:tcW w:type="dxa" w:w="1728"/>
          </w:tcPr>
          <w:p>
            <w:r>
              <w:rPr>
                <w:rFonts w:ascii="Calibri" w:hAnsi="Calibri"/>
                <w:sz w:val="22"/>
              </w:rPr>
              <w:t>↑ Raised via 8-K May 13, 2026; management views stock as dislocated; key EPS accretion lever</w:t>
            </w:r>
          </w:p>
        </w:tc>
      </w:tr>
    </w:tbl>
    <w:p>
      <w:r>
        <w:rPr>
          <w:rFonts w:ascii="Calibri" w:hAnsi="Calibri"/>
          <w:color w:val="525866"/>
          <w:sz w:val="22"/>
        </w:rPr>
        <w:t>Source: CDW Q1 2026 Earnings Call Transcript (May 6, 2026); CDW 8-K filed May 13, 2026 (share repurchase authorization increase). Visible Alpha Consensus and Actuals Data for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 Q2 EPS moved from $2.79 to $2.80 and FY EPS from $10.60 to $10.67 — tracking with guidance rather than diverging. The gap between consensus and guidance is narrow, suggesting limited cushion if execution disappoints but also limited risk of a guidance-driven negative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Estimate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Non-GAAP EPS — Q2 2026</w:t>
            </w:r>
          </w:p>
        </w:tc>
        <w:tc>
          <w:tcPr>
            <w:tcW w:type="dxa" w:w="1080"/>
          </w:tcPr>
          <w:p>
            <w:r>
              <w:rPr>
                <w:rFonts w:ascii="Calibri" w:hAnsi="Calibri"/>
                <w:sz w:val="22"/>
              </w:rPr>
              <w:t>$2.791</w:t>
            </w:r>
          </w:p>
        </w:tc>
        <w:tc>
          <w:tcPr>
            <w:tcW w:type="dxa" w:w="1080"/>
          </w:tcPr>
          <w:p>
            <w:r>
              <w:rPr>
                <w:rFonts w:ascii="Calibri" w:hAnsi="Calibri"/>
                <w:sz w:val="22"/>
              </w:rPr>
              <w:t>$2.804</w:t>
            </w:r>
          </w:p>
        </w:tc>
        <w:tc>
          <w:tcPr>
            <w:tcW w:type="dxa" w:w="1080"/>
          </w:tcPr>
          <w:p>
            <w:r>
              <w:rPr>
                <w:rFonts w:ascii="Calibri" w:hAnsi="Calibri"/>
                <w:b/>
                <w:color w:val="30A46C"/>
                <w:sz w:val="22"/>
              </w:rPr>
              <w:t>+0.5%</w:t>
            </w:r>
          </w:p>
        </w:tc>
        <w:tc>
          <w:tcPr>
            <w:tcW w:type="dxa" w:w="1080"/>
          </w:tcPr>
          <w:p>
            <w:r>
              <w:rPr>
                <w:rFonts w:ascii="Calibri" w:hAnsi="Calibri"/>
                <w:sz w:val="22"/>
              </w:rPr>
              <w:t>High-single-digit YoY growth (~$2.60 × 1.08 = ~$2.81)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 of guided range</w:t>
            </w:r>
          </w:p>
        </w:tc>
      </w:tr>
      <w:tr>
        <w:tc>
          <w:tcPr>
            <w:tcW w:type="dxa" w:w="1080"/>
          </w:tcPr>
          <w:p>
            <w:r>
              <w:rPr>
                <w:rFonts w:ascii="Calibri" w:hAnsi="Calibri"/>
                <w:sz w:val="22"/>
              </w:rPr>
              <w:t>Non-GAAP EPS — FY 2026</w:t>
            </w:r>
          </w:p>
        </w:tc>
        <w:tc>
          <w:tcPr>
            <w:tcW w:type="dxa" w:w="1080"/>
          </w:tcPr>
          <w:p>
            <w:r>
              <w:rPr>
                <w:rFonts w:ascii="Calibri" w:hAnsi="Calibri"/>
                <w:sz w:val="22"/>
              </w:rPr>
              <w:t>$10.598</w:t>
            </w:r>
          </w:p>
        </w:tc>
        <w:tc>
          <w:tcPr>
            <w:tcW w:type="dxa" w:w="1080"/>
          </w:tcPr>
          <w:p>
            <w:r>
              <w:rPr>
                <w:rFonts w:ascii="Calibri" w:hAnsi="Calibri"/>
                <w:sz w:val="22"/>
              </w:rPr>
              <w:t>$10.673</w:t>
            </w:r>
          </w:p>
        </w:tc>
        <w:tc>
          <w:tcPr>
            <w:tcW w:type="dxa" w:w="1080"/>
          </w:tcPr>
          <w:p>
            <w:r>
              <w:rPr>
                <w:rFonts w:ascii="Calibri" w:hAnsi="Calibri"/>
                <w:b/>
                <w:color w:val="30A46C"/>
                <w:sz w:val="22"/>
              </w:rPr>
              <w:t>+0.7%</w:t>
            </w:r>
          </w:p>
        </w:tc>
        <w:tc>
          <w:tcPr>
            <w:tcW w:type="dxa" w:w="1080"/>
          </w:tcPr>
          <w:p>
            <w:r>
              <w:rPr>
                <w:rFonts w:ascii="Calibri" w:hAnsi="Calibri"/>
                <w:sz w:val="22"/>
              </w:rPr>
              <w:t>High end of mid-single-digit YoY growth (~$10.12 × 1.055 = ~$10.68)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 buyback accretion embedded</w:t>
            </w:r>
          </w:p>
        </w:tc>
      </w:tr>
      <w:tr>
        <w:tc>
          <w:tcPr>
            <w:tcW w:type="dxa" w:w="1080"/>
          </w:tcPr>
          <w:p>
            <w:r>
              <w:rPr>
                <w:rFonts w:ascii="Calibri" w:hAnsi="Calibri"/>
                <w:sz w:val="22"/>
              </w:rPr>
              <w:t>Net Sales — Q2 2026</w:t>
            </w:r>
          </w:p>
        </w:tc>
        <w:tc>
          <w:tcPr>
            <w:tcW w:type="dxa" w:w="1080"/>
          </w:tcPr>
          <w:p>
            <w:r>
              <w:rPr>
                <w:rFonts w:ascii="Calibri" w:hAnsi="Calibri"/>
                <w:sz w:val="22"/>
              </w:rPr>
              <w:t>$6.203B</w:t>
            </w:r>
          </w:p>
        </w:tc>
        <w:tc>
          <w:tcPr>
            <w:tcW w:type="dxa" w:w="1080"/>
          </w:tcPr>
          <w:p>
            <w:r>
              <w:rPr>
                <w:rFonts w:ascii="Calibri" w:hAnsi="Calibri"/>
                <w:sz w:val="22"/>
              </w:rPr>
              <w:t>$6.250B</w:t>
            </w:r>
          </w:p>
        </w:tc>
        <w:tc>
          <w:tcPr>
            <w:tcW w:type="dxa" w:w="1080"/>
          </w:tcPr>
          <w:p>
            <w:r>
              <w:rPr>
                <w:rFonts w:ascii="Calibri" w:hAnsi="Calibri"/>
                <w:b/>
                <w:color w:val="30A46C"/>
                <w:sz w:val="22"/>
              </w:rPr>
              <w:t>+0.8%</w:t>
            </w:r>
          </w:p>
        </w:tc>
        <w:tc>
          <w:tcPr>
            <w:tcW w:type="dxa" w:w="1080"/>
          </w:tcPr>
          <w:p>
            <w:r>
              <w:rPr>
                <w:rFonts w:ascii="Calibri" w:hAnsi="Calibri"/>
                <w:sz w:val="22"/>
              </w:rPr>
              <w:t>No explicit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revenue guidance)</w:t>
            </w:r>
          </w:p>
        </w:tc>
      </w:tr>
      <w:tr>
        <w:tc>
          <w:tcPr>
            <w:tcW w:type="dxa" w:w="1080"/>
          </w:tcPr>
          <w:p>
            <w:r>
              <w:rPr>
                <w:rFonts w:ascii="Calibri" w:hAnsi="Calibri"/>
                <w:sz w:val="22"/>
              </w:rPr>
              <w:t>Net Sales — FY 2026</w:t>
            </w:r>
          </w:p>
        </w:tc>
        <w:tc>
          <w:tcPr>
            <w:tcW w:type="dxa" w:w="1080"/>
          </w:tcPr>
          <w:p>
            <w:r>
              <w:rPr>
                <w:rFonts w:ascii="Calibri" w:hAnsi="Calibri"/>
                <w:sz w:val="22"/>
              </w:rPr>
              <w:t>$23.445B</w:t>
            </w:r>
          </w:p>
        </w:tc>
        <w:tc>
          <w:tcPr>
            <w:tcW w:type="dxa" w:w="1080"/>
          </w:tcPr>
          <w:p>
            <w:r>
              <w:rPr>
                <w:rFonts w:ascii="Calibri" w:hAnsi="Calibri"/>
                <w:sz w:val="22"/>
              </w:rPr>
              <w:t>$23.530B</w:t>
            </w:r>
          </w:p>
        </w:tc>
        <w:tc>
          <w:tcPr>
            <w:tcW w:type="dxa" w:w="1080"/>
          </w:tcPr>
          <w:p>
            <w:r>
              <w:rPr>
                <w:rFonts w:ascii="Calibri" w:hAnsi="Calibri"/>
                <w:b/>
                <w:color w:val="30A46C"/>
                <w:sz w:val="22"/>
              </w:rPr>
              <w:t>+0.4%</w:t>
            </w:r>
          </w:p>
        </w:tc>
        <w:tc>
          <w:tcPr>
            <w:tcW w:type="dxa" w:w="1080"/>
          </w:tcPr>
          <w:p>
            <w:r>
              <w:rPr>
                <w:rFonts w:ascii="Calibri" w:hAnsi="Calibri"/>
                <w:sz w:val="22"/>
              </w:rPr>
              <w:t>No explicit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revenue guidance)</w:t>
            </w:r>
          </w:p>
        </w:tc>
      </w:tr>
    </w:tbl>
    <w:p>
      <w:r>
        <w:rPr>
          <w:rFonts w:ascii="Calibri" w:hAnsi="Calibri"/>
          <w:color w:val="525866"/>
          <w:sz w:val="22"/>
        </w:rPr>
        <w:t>Source: Visible Alpha Consensus and Actuals Data. Post-earnings baseline uses May 13, 2026 as-of date (approximately 5 trading days after the May 6 Q1 print). Guidance per CDW Q1 2026 Earnings Call Transcript (May 6, 2026). Estimate revisions have been uniformly positive but modest (+0.4% to +0.8%), consistent with the Street gradually upgrading its view after the Q1 revenue beat without getting aggressive ahead of a cautiously guided H2.</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stock's +15% 1-month rally is predominantly </w:t>
      </w:r>
    </w:p>
    <w:p>
      <w:r>
        <w:rPr>
          <w:rFonts w:ascii="Calibri" w:hAnsi="Calibri"/>
          <w:b/>
          <w:color w:val="525866"/>
          <w:sz w:val="22"/>
        </w:rPr>
        <w:t xml:space="preserve">Key Takeaway: </w:t>
      </w:r>
      <w:r>
        <w:rPr>
          <w:rFonts w:ascii="Calibri" w:hAnsi="Calibri"/>
          <w:color w:val="525866"/>
          <w:sz w:val="22"/>
        </w:rPr>
        <w:t>The stock's ~+15% 1-month rally is predominantly multiple re-rating (+7.6% NTM EV/EBITDA expansion) rather than estimate-driven, suggesting sentiment recovery from a deeply discounted base rather than a fundamental upgrade. The stock remains down ~9% over 12 months and trades at ~13x NTM P/E vs. a historical median above 20x — the discount is wide enough that a clean Q2 print could sustain further re-rating.</w:t>
      </w:r>
    </w:p>
    <w:p>
      <w:r>
        <w:rPr>
          <w:rFonts w:ascii="Calibri" w:hAnsi="Calibri"/>
          <w:color w:val="525866"/>
          <w:sz w:val="22"/>
        </w:rPr>
        <w:t>Stock Performance Summary (Since Q1 2026 Earnings, May 6, 2026 through August 4, 2026):</w:t>
      </w:r>
    </w:p>
    <w:p>
      <w:pPr>
        <w:pStyle w:val="ListBullet"/>
        <w:ind w:left="360" w:hanging="360"/>
      </w:pPr>
      <w:r>
        <w:rPr>
          <w:rFonts w:ascii="Calibri" w:hAnsi="Calibri"/>
          <w:b/>
          <w:color w:val="525866"/>
          <w:sz w:val="22"/>
        </w:rPr>
        <w:t xml:space="preserve">CDW: </w:t>
      </w:r>
      <w:r>
        <w:rPr>
          <w:rFonts w:ascii="Calibri" w:hAnsi="Calibri"/>
          <w:color w:val="525866"/>
          <w:sz w:val="22"/>
        </w:rPr>
        <w:t>+21.5% (6-month), +14.8% (1-month), -8.8% (12-month)</w:t>
      </w:r>
    </w:p>
    <w:p>
      <w:pPr>
        <w:pStyle w:val="ListBullet"/>
        <w:ind w:left="360" w:hanging="360"/>
      </w:pPr>
      <w:r>
        <w:rPr>
          <w:rFonts w:ascii="Calibri" w:hAnsi="Calibri"/>
          <w:b/>
          <w:color w:val="525866"/>
          <w:sz w:val="22"/>
        </w:rPr>
        <w:t xml:space="preserve">NTM P/E: </w:t>
      </w:r>
      <w:r>
        <w:rPr>
          <w:rFonts w:ascii="Calibri" w:hAnsi="Calibri"/>
          <w:color w:val="525866"/>
          <w:sz w:val="22"/>
        </w:rPr>
        <w:t>13.2x current vs. 12.0x one month ago (+9.6% multiple expansion) and 17.0x one year ago (-22.8% compression over 12 months)</w:t>
      </w:r>
    </w:p>
    <w:p>
      <w:pPr>
        <w:pStyle w:val="ListBullet"/>
        <w:ind w:left="360" w:hanging="360"/>
      </w:pPr>
      <w:r>
        <w:rPr>
          <w:rFonts w:ascii="Calibri" w:hAnsi="Calibri"/>
          <w:b/>
          <w:color w:val="525866"/>
          <w:sz w:val="22"/>
        </w:rPr>
        <w:t xml:space="preserve">NTM EV/EBITDA: </w:t>
      </w:r>
      <w:r>
        <w:rPr>
          <w:rFonts w:ascii="Calibri" w:hAnsi="Calibri"/>
          <w:color w:val="525866"/>
          <w:sz w:val="22"/>
        </w:rPr>
        <w:t>10.2x current vs. 9.5x one month ago (+7.6% expansion) and 12.2x one year ago (-16.7% compression over 12 months)</w:t>
      </w:r>
    </w:p>
    <w:p>
      <w:pPr>
        <w:pStyle w:val="ListBullet"/>
        <w:ind w:left="360" w:hanging="360"/>
      </w:pPr>
      <w:r>
        <w:rPr>
          <w:rFonts w:ascii="Calibri" w:hAnsi="Calibri"/>
          <w:b/>
          <w:color w:val="525866"/>
          <w:sz w:val="22"/>
        </w:rPr>
        <w:t xml:space="preserve">Sector ETF: </w:t>
      </w:r>
      <w:r>
        <w:rPr>
          <w:rFonts w:ascii="Calibri" w:hAnsi="Calibri"/>
          <w:color w:val="525866"/>
          <w:sz w:val="22"/>
        </w:rPr>
        <w:t>IGV (iShares Expanded Tech-Software ETF) used as sector proxy for IT solutions/distribution; note CDW is more hardware-distribution-oriented than pure software, so IGV is an imperfect but widely used tech benchmark</w:t>
      </w:r>
    </w:p>
    <w:p>
      <w:pPr>
        <w:pStyle w:val="ListBullet"/>
        <w:ind w:left="360" w:hanging="360"/>
      </w:pPr>
      <w:r>
        <w:rPr>
          <w:rFonts w:ascii="Calibri" w:hAnsi="Calibri"/>
          <w:b/>
          <w:color w:val="525866"/>
          <w:sz w:val="22"/>
        </w:rPr>
        <w:t xml:space="preserve">Key events since last earnings: </w:t>
      </w:r>
      <w:r>
        <w:rPr>
          <w:rFonts w:ascii="Calibri" w:hAnsi="Calibri"/>
          <w:color w:val="525866"/>
          <w:sz w:val="22"/>
        </w:rPr>
        <w:t>May 13 — $1B buyback authorization increase (8-K); May 1 — segment reporting recast (8-K); broader AI infrastructure rally in late July (MSFT +16%, ANET +13%, AMD +50%+ YTD) lifted IT infrastructure sentiment</w:t>
      </w:r>
    </w:p>
    <w:p>
      <w:r>
        <w:rPr>
          <w:rFonts w:ascii="Calibri" w:hAnsi="Calibri"/>
          <w:i/>
          <w:color w:val="525866"/>
          <w:sz w:val="22"/>
        </w:rPr>
        <w:t xml:space="preserve">Note: </w:t>
      </w:r>
      <w:r>
        <w:rPr>
          <w:rFonts w:ascii="Calibri" w:hAnsi="Calibri"/>
          <w:i/>
          <w:color w:val="525866"/>
          <w:sz w:val="22"/>
        </w:rPr>
        <w:t>A stock price vs. peers indexed chart (CDW vs. IGV vs. S&amp;P 500 since May 6, 2026) was prepared for this report. The chart reflects CDW's underperformance vs. the broader tech rally through June, followed by a sharp catch-up in late July as AI infrastructure sentiment improved and the buyback authorization signaled management conviction. Chart data sourced from Yahoo Finance.</w:t>
      </w:r>
    </w:p>
    <w:p>
      <w:r>
        <w:rPr>
          <w:rFonts w:ascii="Calibri" w:hAnsi="Calibri"/>
          <w:color w:val="525866"/>
          <w:sz w:val="22"/>
        </w:rPr>
        <w:t>Source: Stock performance decomposition data as of August 4, 2026 (Implied platform). Multiple data per Visible Alpha Consensus and Actuals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 xml:space="preserve">Key Takeaway: </w:t>
      </w:r>
      <w:r>
        <w:rPr>
          <w:rFonts w:ascii="Calibri" w:hAnsi="Calibri"/>
          <w:color w:val="525866"/>
          <w:sz w:val="22"/>
        </w:rPr>
        <w:t>The most important development since Q1 earnings is the $1B buyback authorization increase (May 13), which signals management's conviction that the stock is dislocated and provides a durable EPS accretion lever. The broader AI infrastructure demand surge — confirmed by MSFT, ANET, AMD, and SMCI — is the most important read-through for CDW's Q2 infrastructure hardware demand.</w:t>
      </w:r>
    </w:p>
    <w:p>
      <w:pPr>
        <w:pStyle w:val="ListBullet"/>
        <w:ind w:left="360" w:hanging="360"/>
      </w:pPr>
      <w:r>
        <w:rPr>
          <w:rFonts w:ascii="Calibri" w:hAnsi="Calibri"/>
          <w:b/>
          <w:color w:val="525866"/>
          <w:sz w:val="22"/>
        </w:rPr>
        <w:t xml:space="preserve">May 13, 2026 — CDW $1B Share Repurchase Authorization Increase (8-K): </w:t>
      </w:r>
      <w:r>
        <w:rPr>
          <w:rFonts w:ascii="Calibri" w:hAnsi="Calibri"/>
          <w:color w:val="525866"/>
          <w:sz w:val="22"/>
        </w:rPr>
        <w:t xml:space="preserve">Board authorized an additional $1B, incremental to ~$484M remaining as of March 31, 2026, bringing total available to ~$1.484B. Management explicitly characterized the stock as dislocated and framed buybacks as the best use of capital and a key driver of EPS accretion toward a return to double-digit EPS growth. </w:t>
      </w:r>
    </w:p>
    <w:p>
      <w:pPr>
        <w:pStyle w:val="ListBullet"/>
        <w:ind w:left="360" w:hanging="360"/>
      </w:pPr>
      <w:r>
        <w:rPr>
          <w:rFonts w:ascii="Calibri" w:hAnsi="Calibri"/>
          <w:b/>
          <w:color w:val="525866"/>
          <w:sz w:val="22"/>
        </w:rPr>
        <w:t xml:space="preserve">May 1, 2026 — CDW Segment Reporting Recast (8-K): </w:t>
      </w:r>
      <w:r>
        <w:rPr>
          <w:rFonts w:ascii="Calibri" w:hAnsi="Calibri"/>
          <w:color w:val="525866"/>
          <w:sz w:val="22"/>
        </w:rPr>
        <w:t>CDW revamped segment reporting into Commercial, Government, and Education (eliminating the prior Corporate/Public split), and provided recast historical data. This improves comparability going forward but creates a one-time modeling adjustment for investors.</w:t>
      </w:r>
    </w:p>
    <w:p>
      <w:pPr>
        <w:pStyle w:val="ListBullet"/>
        <w:ind w:left="360" w:hanging="360"/>
      </w:pPr>
      <w:r>
        <w:rPr>
          <w:rFonts w:ascii="Calibri" w:hAnsi="Calibri"/>
          <w:b/>
          <w:color w:val="525866"/>
          <w:sz w:val="22"/>
        </w:rPr>
        <w:t xml:space="preserve">July 29–30, 2026 — Microsoft Q4 FY2026 Earnings (Positive Read-Through): </w:t>
      </w:r>
      <w:r>
        <w:rPr>
          <w:rFonts w:ascii="Calibri" w:hAnsi="Calibri"/>
          <w:color w:val="525866"/>
          <w:sz w:val="22"/>
        </w:rPr>
        <w:t xml:space="preserve">MSFT reported $90B in revenue (+18% YoY), Azure growth of 43% (fastest in 4 years), and 30M paid Microsoft 365 Copilot seats (doubled sequentially). Stock surged 16%, adding ~$450B in market cap — the largest single-day gain in US stock market history. </w:t>
      </w:r>
    </w:p>
    <w:p>
      <w:pPr>
        <w:pStyle w:val="ListBullet"/>
        <w:ind w:left="360" w:hanging="360"/>
      </w:pPr>
      <w:r>
        <w:rPr>
          <w:rFonts w:ascii="Calibri" w:hAnsi="Calibri"/>
          <w:b/>
          <w:color w:val="525866"/>
          <w:sz w:val="22"/>
        </w:rPr>
        <w:t xml:space="preserve">August 4, 2026 — Arista Networks Q2 2026 Earnings (Positive Read-Through): </w:t>
      </w:r>
      <w:r>
        <w:rPr>
          <w:rFonts w:ascii="Calibri" w:hAnsi="Calibri"/>
          <w:color w:val="525866"/>
          <w:sz w:val="22"/>
        </w:rPr>
        <w:t>ANET reported revenue of $3.04B (+38% YoY, vs. $2.83B consensus) and guided Q3 to $3.3B (vs. $2.95B consensus). Stock surged ~13%. Confirms sustained enterprise networking demand — a direct CDW product category.</w:t>
      </w:r>
    </w:p>
    <w:p>
      <w:pPr>
        <w:pStyle w:val="ListBullet"/>
        <w:ind w:left="360" w:hanging="360"/>
      </w:pPr>
      <w:r>
        <w:rPr>
          <w:rFonts w:ascii="Calibri" w:hAnsi="Calibri"/>
          <w:b/>
          <w:color w:val="525866"/>
          <w:sz w:val="22"/>
        </w:rPr>
        <w:t xml:space="preserve">August 4, 2026 — AMD Q2 2026 Earnings (Mixed Read-Through): </w:t>
      </w:r>
      <w:r>
        <w:rPr>
          <w:rFonts w:ascii="Calibri" w:hAnsi="Calibri"/>
          <w:color w:val="525866"/>
          <w:sz w:val="22"/>
        </w:rPr>
        <w:t>AMD reported Q2 revenue of $11.54B (+50% YoY, beat), data center revenue of $6.72B (beat), and guided Q3 to ~$13B (above $12.52B consensus). Stock fell &gt;7% after hours on elevated expectations. Confirms AI infrastructure demand is real but bar is high.</w:t>
      </w:r>
    </w:p>
    <w:p>
      <w:pPr>
        <w:pStyle w:val="ListBullet"/>
        <w:ind w:left="360" w:hanging="360"/>
      </w:pPr>
      <w:r>
        <w:rPr>
          <w:rFonts w:ascii="Calibri" w:hAnsi="Calibri"/>
          <w:b/>
          <w:color w:val="525866"/>
          <w:sz w:val="22"/>
        </w:rPr>
        <w:t xml:space="preserve">August 3, 2026 — Palantir Q2 2026 Earnings (Positive AI Demand Signal): </w:t>
      </w:r>
      <w:r>
        <w:rPr>
          <w:rFonts w:ascii="Calibri" w:hAnsi="Calibri"/>
          <w:color w:val="525866"/>
          <w:sz w:val="22"/>
        </w:rPr>
        <w:t>PLTR reported Q2 revenue of $1.935B (+93% YoY, vs. $1.808B consensus), US commercial sales +149% YoY to $764M, and raised full-year guidance to $8.15–$8.158B. CEO called demand "otherworldly." Confirms enterprise AI software adoption is accelerating — positive for CDW's software and services attach.</w:t>
      </w:r>
    </w:p>
    <w:p>
      <w:pPr>
        <w:pStyle w:val="ListBullet"/>
        <w:ind w:left="360" w:hanging="360"/>
      </w:pPr>
      <w:r>
        <w:rPr>
          <w:rFonts w:ascii="Calibri" w:hAnsi="Calibri"/>
          <w:b/>
          <w:color w:val="525866"/>
          <w:sz w:val="22"/>
        </w:rPr>
        <w:t xml:space="preserve">July 30, 2026 — Apple Q3 FY2026 Earnings (Memory Supply Warning — Key CDW Wildcard): </w:t>
      </w:r>
      <w:r>
        <w:rPr>
          <w:rFonts w:ascii="Calibri" w:hAnsi="Calibri"/>
          <w:color w:val="525866"/>
          <w:sz w:val="22"/>
        </w:rPr>
        <w:t>AAPL reported record June-quarter sales of $109.4B but guided Q4 revenue growth of only 9–11% (vs. ~12% consensus) due to severe memory chip shortages and supply constraints. CEO Tim Cook cited "a hundred-year flood on memory pricing" and "very significant constraints with limited flexibility in the supply chain." Stock fell ~7–10%. This is a direct read-through for CDW: memory supply constraints have been driving customer urgency to purchase infrastructure hardware ahead of price increases — the same dynamic that drove CDW's Q1 beat. If constraints persist into Q2, CDW's infrastructure hardware demand likely remained elevated.</w:t>
      </w:r>
    </w:p>
    <w:p>
      <w:pPr>
        <w:pStyle w:val="ListBullet"/>
        <w:ind w:left="360" w:hanging="360"/>
      </w:pPr>
      <w:r>
        <w:rPr>
          <w:rFonts w:ascii="Calibri" w:hAnsi="Calibri"/>
          <w:b/>
          <w:color w:val="525866"/>
          <w:sz w:val="22"/>
        </w:rPr>
        <w:t xml:space="preserve">July 21–22, 2026 — Super Micro Computer Preliminary Q4 FY2026 Update (Positive Read-Through): </w:t>
      </w:r>
      <w:r>
        <w:rPr>
          <w:rFonts w:ascii="Calibri" w:hAnsi="Calibri"/>
          <w:color w:val="525866"/>
          <w:sz w:val="22"/>
        </w:rPr>
        <w:t>SMCI disclosed record backlog exceeding $60B in new orders and raised gross margin guidance to 15–17% (from 8.2–8.4%). Revenue tracking to low end of $11–12.5B guidance. Confirms AI server demand is robust and backlog is building — consistent with CDW's Q1 commentary about elevated infrastructure backlog entering Q2.</w:t>
      </w:r>
    </w:p>
    <w:p>
      <w:pPr>
        <w:pStyle w:val="ListBullet"/>
        <w:ind w:left="360" w:hanging="360"/>
      </w:pPr>
      <w:r>
        <w:rPr>
          <w:rFonts w:ascii="Calibri" w:hAnsi="Calibri"/>
          <w:b/>
          <w:color w:val="525866"/>
          <w:sz w:val="22"/>
        </w:rPr>
        <w:t xml:space="preserve">July 22–23, 2026 — IBM Q2 2026 Earnings (Cautionary Read-Through): </w:t>
      </w:r>
      <w:r>
        <w:rPr>
          <w:rFonts w:ascii="Calibri" w:hAnsi="Calibri"/>
          <w:color w:val="525866"/>
          <w:sz w:val="22"/>
        </w:rPr>
        <w:t>IBM reported Q2 revenue of $17.2B (missed $17.5B consensus) as customers shifted budgets toward supply-constrained infrastructure hardware (servers, memory) at the expense of software and mainframes. CEO Krishna noted customers redirected budgets to avoid 15–30% hardware price increases. Stock fell 25% on July 14 pre-announcement. This is a nuanced read-through for CDW: the same budget shift that hurt IBM's software revenue likely benefited CDW's infrastructure hardware sales in Q2.</w:t>
      </w:r>
    </w:p>
    <w:p>
      <w:pPr>
        <w:pStyle w:val="ListBullet"/>
        <w:ind w:left="360" w:hanging="360"/>
      </w:pPr>
      <w:r>
        <w:rPr>
          <w:rFonts w:ascii="Calibri" w:hAnsi="Calibri"/>
          <w:b/>
          <w:color w:val="525866"/>
          <w:sz w:val="22"/>
        </w:rPr>
        <w:t xml:space="preserve">July 28, 2026 — Seagate Q4 FY2026 Earnings (Positive Storage Read-Through): </w:t>
      </w:r>
      <w:r>
        <w:rPr>
          <w:rFonts w:ascii="Calibri" w:hAnsi="Calibri"/>
          <w:color w:val="525866"/>
          <w:sz w:val="22"/>
        </w:rPr>
        <w:t>STX reported adjusted EPS of $5.71 (vs. $5.10 consensus) on revenue of $3.6B (+49% YoY), and guided Q1 FY2027 to $7.30 EPS (vs. $5.85 consensus) and $4.1B revenue (vs. $3.8B consensus). Confirms AI-driven storage demand is durable — CDW's enterprise and data storage segment was up &gt;20% in Q1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Two open-market purchases by directors in May 2026 — both discretionary, not 10b5-1 — are a notable bullish signal, particularly given the size of the Nelms purchase (18,000 shares). Combined with the $1B buyback authorization increase, insider behavior is uniformly constructive.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W. Nelms</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18,000 shares</w:t>
            </w:r>
          </w:p>
        </w:tc>
        <w:tc>
          <w:tcPr>
            <w:tcW w:type="dxa" w:w="1440"/>
          </w:tcPr>
          <w:p>
            <w:r>
              <w:rPr>
                <w:rFonts w:ascii="Calibri" w:hAnsi="Calibri"/>
                <w:sz w:val="22"/>
              </w:rPr>
              <w:t>May 27, 2026</w:t>
            </w:r>
          </w:p>
        </w:tc>
        <w:tc>
          <w:tcPr>
            <w:tcW w:type="dxa" w:w="1440"/>
          </w:tcPr>
          <w:p>
            <w:r>
              <w:rPr>
                <w:rFonts w:ascii="Calibri" w:hAnsi="Calibri"/>
                <w:sz w:val="22"/>
              </w:rPr>
              <w:t>Discretionary; significant size; post-Q1 earnings purchase signals conviction at current price levels. Holdings: 51,025 shares post-transaction.</w:t>
            </w:r>
          </w:p>
        </w:tc>
      </w:tr>
      <w:tr>
        <w:tc>
          <w:tcPr>
            <w:tcW w:type="dxa" w:w="1440"/>
          </w:tcPr>
          <w:p>
            <w:r>
              <w:rPr>
                <w:rFonts w:ascii="Calibri" w:hAnsi="Calibri"/>
                <w:sz w:val="22"/>
              </w:rPr>
              <w:t>Christine A. Leahy</w:t>
            </w:r>
          </w:p>
        </w:tc>
        <w:tc>
          <w:tcPr>
            <w:tcW w:type="dxa" w:w="1440"/>
          </w:tcPr>
          <w:p>
            <w:r>
              <w:rPr>
                <w:rFonts w:ascii="Calibri" w:hAnsi="Calibri"/>
                <w:sz w:val="22"/>
              </w:rPr>
              <w:t>Director (former CEO)</w:t>
            </w:r>
          </w:p>
        </w:tc>
        <w:tc>
          <w:tcPr>
            <w:tcW w:type="dxa" w:w="1440"/>
          </w:tcPr>
          <w:p>
            <w:r>
              <w:rPr>
                <w:rFonts w:ascii="Calibri" w:hAnsi="Calibri"/>
                <w:b/>
                <w:color w:val="30A46C"/>
                <w:sz w:val="22"/>
              </w:rPr>
              <w:t>Open Market Buy</w:t>
            </w:r>
          </w:p>
        </w:tc>
        <w:tc>
          <w:tcPr>
            <w:tcW w:type="dxa" w:w="1440"/>
          </w:tcPr>
          <w:p>
            <w:r>
              <w:rPr>
                <w:rFonts w:ascii="Calibri" w:hAnsi="Calibri"/>
                <w:sz w:val="22"/>
              </w:rPr>
              <w:t>4,830 shares</w:t>
            </w:r>
          </w:p>
        </w:tc>
        <w:tc>
          <w:tcPr>
            <w:tcW w:type="dxa" w:w="1440"/>
          </w:tcPr>
          <w:p>
            <w:r>
              <w:rPr>
                <w:rFonts w:ascii="Calibri" w:hAnsi="Calibri"/>
                <w:sz w:val="22"/>
              </w:rPr>
              <w:t>May 18, 2026</w:t>
            </w:r>
          </w:p>
        </w:tc>
        <w:tc>
          <w:tcPr>
            <w:tcW w:type="dxa" w:w="1440"/>
          </w:tcPr>
          <w:p>
            <w:r>
              <w:rPr>
                <w:rFonts w:ascii="Calibri" w:hAnsi="Calibri"/>
                <w:sz w:val="22"/>
              </w:rPr>
              <w:t>Discretionary; former CEO buying in open market post-Q1 earnings is a meaningful signal. Holdings: 193,357 shares post-transaction.</w:t>
            </w:r>
          </w:p>
        </w:tc>
      </w:tr>
    </w:tbl>
    <w:p>
      <w:r>
        <w:rPr>
          <w:rFonts w:ascii="Calibri" w:hAnsi="Calibri"/>
          <w:color w:val="525866"/>
          <w:sz w:val="22"/>
        </w:rPr>
        <w:t>Source: SEC Form 4 Filings Database (Insider Transaction Data). Both transactions are open-market purchases (Form 4 transaction code P), direct ownership, discretionary (not under a 10b5-1 plan). No open-market sales were filed in the trailing 60 days. The combination of two director purchases within two weeks of the Q1 earnings print, at a time when the stock was trading near multi-year lows, is a constructive insider signal.</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Peer commentary from the trailing 60 days is uniformly constructive for CDW's Q2 infrastructure hardware demand. The most direct read-through is TD SYNNEX (June 25), which reported its Q2 FY2026 (ending May 2026) and guided Q3 with explicit commentary on the current demand environment. AI infrastructure, networking, storage, and compute demand are all described as robust, with memory supply constraints and price increases driving customer urgency — the same dynamics CDW cited for its Q1 beat. The key risk flagged by peers is PC unit elasticity from ASP increases and memory/CPU supply constraints in Q3.</w:t>
      </w:r>
    </w:p>
    <w:p>
      <w:r>
        <w:rPr>
          <w:rFonts w:ascii="Calibri" w:hAnsi="Calibri"/>
          <w:b/>
          <w:i/>
          <w:color w:val="525866"/>
          <w:sz w:val="22"/>
        </w:rPr>
        <w:t xml:space="preserve">Methodology Note: </w:t>
      </w:r>
      <w:r>
        <w:rPr>
          <w:rFonts w:ascii="Calibri" w:hAnsi="Calibri"/>
          <w:i/>
          <w:color w:val="525866"/>
          <w:sz w:val="22"/>
        </w:rPr>
        <w:t>The following peer commentaries are included only where they address the June 2026 quarter environment or forward outlook (i.e., commentary about what is happening now or what peers expect going forward). Backward-looking commentary from peers about their own prior completed quarters has been excluded per the requested filter.</w:t>
      </w:r>
    </w:p>
    <w:p>
      <w:pPr>
        <w:pStyle w:val="Heading3"/>
      </w:pPr>
      <w:r>
        <w:rPr>
          <w:rFonts w:ascii="Calibri" w:hAnsi="Calibri"/>
          <w:b/>
          <w:color w:val="3B4259"/>
          <w:sz w:val="24"/>
        </w:rPr>
        <w:t>TD SYNNEX (SNX) — Q2 FY2026 Earnings Call, June 25, 2026</w:t>
      </w:r>
    </w:p>
    <w:p>
      <w:r>
        <w:rPr>
          <w:rFonts w:ascii="Calibri" w:hAnsi="Calibri"/>
          <w:b/>
          <w:color w:val="525866"/>
          <w:sz w:val="22"/>
        </w:rPr>
        <w:t xml:space="preserve">Relevance: </w:t>
      </w:r>
      <w:r>
        <w:rPr>
          <w:rFonts w:ascii="Calibri" w:hAnsi="Calibri"/>
          <w:color w:val="525866"/>
          <w:sz w:val="22"/>
        </w:rPr>
        <w:t>TD SYNNEX is CDW's closest direct peer in IT distribution. SNX's Q2 FY2026 ended May 31, 2026, and its Q3 FY2026 guidance (June–August 2026) covers the same calendar period as CDW's Q2 2026 (April–June 2026). SNX's forward-looking commentary on the demand environment is the most direct read-through available.</w:t>
      </w:r>
    </w:p>
    <w:p>
      <w:pPr>
        <w:pStyle w:val="ListBullet"/>
        <w:ind w:left="360" w:hanging="360"/>
      </w:pPr>
      <w:r>
        <w:rPr>
          <w:rFonts w:ascii="Calibri" w:hAnsi="Calibri"/>
          <w:b/>
          <w:color w:val="525866"/>
          <w:sz w:val="22"/>
        </w:rPr>
        <w:t xml:space="preserve">Infrastructure demand remains robust: </w:t>
      </w:r>
      <w:r>
        <w:rPr>
          <w:rFonts w:ascii="Calibri" w:hAnsi="Calibri"/>
          <w:color w:val="525866"/>
          <w:sz w:val="22"/>
        </w:rPr>
        <w:t xml:space="preserve">"Enterprises are prioritizing the modernization of their data centers, and AI is driving incremental investment across the technology stack." Management described networking demand as "very solid" driven by Wi-Fi 7 refresh and AI-related investments, storage as having "a very strong quarter" expected to continue, and compute demand as "very solid" driven by ASP increases and AI criticality. </w:t>
      </w:r>
    </w:p>
    <w:p>
      <w:pPr>
        <w:pStyle w:val="ListBullet"/>
        <w:ind w:left="360" w:hanging="360"/>
      </w:pPr>
      <w:r>
        <w:rPr>
          <w:rFonts w:ascii="Calibri" w:hAnsi="Calibri"/>
          <w:b/>
          <w:color w:val="525866"/>
          <w:sz w:val="22"/>
        </w:rPr>
        <w:t xml:space="preserve">Memory supply constraints are a real risk for Q3: </w:t>
      </w:r>
      <w:r>
        <w:rPr>
          <w:rFonts w:ascii="Calibri" w:hAnsi="Calibri"/>
          <w:color w:val="525866"/>
          <w:sz w:val="22"/>
        </w:rPr>
        <w:t xml:space="preserve">SNX explicitly flagged memory as a category with "potential challenges" and noted "some CPUs could also face delivery issues" in Q3. The company set Q3 guidance with a "more cautious approach due to these potential supply constraints." New price increases in storage, servers, and PCs are expected in July. </w:t>
      </w:r>
    </w:p>
    <w:p>
      <w:pPr>
        <w:pStyle w:val="ListBullet"/>
        <w:ind w:left="360" w:hanging="360"/>
      </w:pPr>
      <w:r>
        <w:rPr>
          <w:rFonts w:ascii="Calibri" w:hAnsi="Calibri"/>
          <w:b/>
          <w:color w:val="525866"/>
          <w:sz w:val="22"/>
        </w:rPr>
        <w:t xml:space="preserve">PC category is the area of most caution: </w:t>
      </w:r>
      <w:r>
        <w:rPr>
          <w:rFonts w:ascii="Calibri" w:hAnsi="Calibri"/>
          <w:color w:val="525866"/>
          <w:sz w:val="22"/>
        </w:rPr>
        <w:t>"The PC category is being watched closely, particularly consumer PCs, where elasticity is expected to be relatively high." SNX noted that "unit volumes could be impacted by ASP increases" and that "new price increases are expected in PCs in July." This is a direct read-through for CDW's client device segment, which already faced tough comps in Q1.</w:t>
      </w:r>
    </w:p>
    <w:p>
      <w:pPr>
        <w:pStyle w:val="ListBullet"/>
        <w:ind w:left="360" w:hanging="360"/>
      </w:pPr>
      <w:r>
        <w:rPr>
          <w:rFonts w:ascii="Calibri" w:hAnsi="Calibri"/>
          <w:b/>
          <w:color w:val="525866"/>
          <w:sz w:val="22"/>
        </w:rPr>
        <w:t xml:space="preserve">AI-capable device refresh is "just beginning": </w:t>
      </w:r>
      <w:r>
        <w:rPr>
          <w:rFonts w:ascii="Calibri" w:hAnsi="Calibri"/>
          <w:color w:val="525866"/>
          <w:sz w:val="22"/>
        </w:rPr>
        <w:t>"The shift to AI-capable devices is believed to be just beginning, and enterprises are prioritizing the modernization of their data centers." This supports CDW's thesis that the Windows 11 / AI PC refresh cycle provides a multi-year tailwind for client devices.</w:t>
      </w:r>
    </w:p>
    <w:p>
      <w:pPr>
        <w:pStyle w:val="ListBullet"/>
        <w:ind w:left="360" w:hanging="360"/>
      </w:pPr>
      <w:r>
        <w:rPr>
          <w:rFonts w:ascii="Calibri" w:hAnsi="Calibri"/>
          <w:b/>
          <w:color w:val="525866"/>
          <w:sz w:val="22"/>
        </w:rPr>
        <w:t xml:space="preserve">Software, cloud, and security growing at double-digit rates: </w:t>
      </w:r>
      <w:r>
        <w:rPr>
          <w:rFonts w:ascii="Calibri" w:hAnsi="Calibri"/>
          <w:color w:val="525866"/>
          <w:sz w:val="22"/>
        </w:rPr>
        <w:t>SNX expects these segments to "continue growing at double-digit rates" in Q3. This is consistent with CDW's Q1 commentary that software grew 11% and cloud customer spend continued at a healthy pace.</w:t>
      </w:r>
    </w:p>
    <w:p>
      <w:pPr>
        <w:pStyle w:val="ListBullet"/>
        <w:ind w:left="360" w:hanging="360"/>
      </w:pPr>
      <w:r>
        <w:rPr>
          <w:rFonts w:ascii="Calibri" w:hAnsi="Calibri"/>
          <w:b/>
          <w:color w:val="525866"/>
          <w:sz w:val="22"/>
        </w:rPr>
        <w:t xml:space="preserve">Q3 FY2026 guidance (June–August 2026): </w:t>
      </w:r>
      <w:r>
        <w:rPr>
          <w:rFonts w:ascii="Calibri" w:hAnsi="Calibri"/>
          <w:color w:val="525866"/>
          <w:sz w:val="22"/>
        </w:rPr>
        <w:t xml:space="preserve">Non-GAAP gross billings of ~$27.7B (±$500M, +22% YoY at midpoint), revenue of ~$18.6B (±$400M), non-GAAP diluted EPS of ~$4.50 (±$0.25, +26% YoY). Guidance does not include material contribution from newly onboarded Hyve customers. </w:t>
      </w:r>
    </w:p>
    <w:p>
      <w:r>
        <w:rPr>
          <w:rFonts w:ascii="Calibri" w:hAnsi="Calibri"/>
          <w:b/>
          <w:color w:val="525866"/>
          <w:sz w:val="22"/>
        </w:rPr>
        <w:t xml:space="preserve">CDW Read-Through: </w:t>
      </w:r>
      <w:r>
        <w:rPr>
          <w:rFonts w:ascii="Calibri" w:hAnsi="Calibri"/>
          <w:color w:val="525866"/>
          <w:sz w:val="22"/>
        </w:rPr>
        <w:t>SNX's Q3 guidance covering the June 2026 quarter confirms that infrastructure hardware demand (networking, storage, compute) remained robust through the period, consistent with CDW's Q1 backlog commentary. The memory supply caution is a two-sided read-through: it could extend CDW's infrastructure hardware tailwind (customers buying ahead of price increases) or create delivery delays that push revenue into Q3. The PC caution is a mild negative for CDW's client device segment.</w:t>
      </w:r>
    </w:p>
    <w:p>
      <w:pPr>
        <w:pStyle w:val="Heading3"/>
      </w:pPr>
      <w:r>
        <w:rPr>
          <w:rFonts w:ascii="Calibri" w:hAnsi="Calibri"/>
          <w:b/>
          <w:color w:val="3B4259"/>
          <w:sz w:val="24"/>
        </w:rPr>
        <w:t>IBM (IBM) — Q2 2026 Earnings, July 22–23, 2026</w:t>
      </w:r>
    </w:p>
    <w:p>
      <w:r>
        <w:rPr>
          <w:rFonts w:ascii="Calibri" w:hAnsi="Calibri"/>
          <w:b/>
          <w:color w:val="525866"/>
          <w:sz w:val="22"/>
        </w:rPr>
        <w:t xml:space="preserve">Relevance: </w:t>
      </w:r>
      <w:r>
        <w:rPr>
          <w:rFonts w:ascii="Calibri" w:hAnsi="Calibri"/>
          <w:color w:val="525866"/>
          <w:sz w:val="22"/>
        </w:rPr>
        <w:t>IBM's Q2 2026 (April–June 2026) covers the same period as CDW's Q2 2026. IBM's commentary on enterprise IT budget shifts is a direct read-through for CDW's demand mix.</w:t>
      </w:r>
    </w:p>
    <w:p>
      <w:pPr>
        <w:pStyle w:val="ListBullet"/>
        <w:ind w:left="360" w:hanging="360"/>
      </w:pPr>
      <w:r>
        <w:rPr>
          <w:rFonts w:ascii="Calibri" w:hAnsi="Calibri"/>
          <w:b/>
          <w:color w:val="525866"/>
          <w:sz w:val="22"/>
        </w:rPr>
        <w:t xml:space="preserve">IBM reported Q2 revenue of $17.2B (missed $17.5B consensus) </w:t>
      </w:r>
      <w:r>
        <w:rPr>
          <w:rFonts w:ascii="Calibri" w:hAnsi="Calibri"/>
          <w:color w:val="525866"/>
          <w:sz w:val="22"/>
        </w:rPr>
        <w:t>as customers shifted budgets toward supply-constrained infrastructure hardware (servers, memory) at the expense of software and mainframes. CEO Krishna noted customers redirected budgets to avoid 15–30% hardware price increases.</w:t>
      </w:r>
    </w:p>
    <w:p>
      <w:pPr>
        <w:pStyle w:val="ListBullet"/>
        <w:ind w:left="360" w:hanging="360"/>
      </w:pPr>
      <w:r>
        <w:rPr>
          <w:rFonts w:ascii="Calibri" w:hAnsi="Calibri"/>
          <w:color w:val="525866"/>
          <w:sz w:val="22"/>
        </w:rPr>
        <w:t>"Tens of customers deferred mainframe purchases and instead redirected budget to other hardware facing cost increases of 15% to 30% due to AI-driven data center component prices."</w:t>
      </w:r>
    </w:p>
    <w:p>
      <w:pPr>
        <w:pStyle w:val="ListBullet"/>
        <w:ind w:left="360" w:hanging="360"/>
      </w:pPr>
      <w:r>
        <w:rPr>
          <w:rFonts w:ascii="Calibri" w:hAnsi="Calibri"/>
          <w:b/>
          <w:color w:val="525866"/>
          <w:sz w:val="22"/>
        </w:rPr>
        <w:t xml:space="preserve">IBM noted that "prices for a lot of infrastructure components have gone way up," </w:t>
      </w:r>
      <w:r>
        <w:rPr>
          <w:rFonts w:ascii="Calibri" w:hAnsi="Calibri"/>
          <w:color w:val="525866"/>
          <w:sz w:val="22"/>
        </w:rPr>
        <w:t>confirming the memory and hardware pricing environment that CDW cited as a demand driver in Q1 2026.</w:t>
      </w:r>
    </w:p>
    <w:p>
      <w:r>
        <w:rPr>
          <w:rFonts w:ascii="Calibri" w:hAnsi="Calibri"/>
          <w:b/>
          <w:color w:val="525866"/>
          <w:sz w:val="22"/>
        </w:rPr>
        <w:t xml:space="preserve">CDW Read-Through: </w:t>
      </w:r>
      <w:r>
        <w:rPr>
          <w:rFonts w:ascii="Calibri" w:hAnsi="Calibri"/>
          <w:color w:val="525866"/>
          <w:sz w:val="22"/>
        </w:rPr>
        <w:t>IBM's Q2 miss is a constructive read-through for CDW: the same budget shift that hurt IBM's software and mainframe revenue (customers redirecting spend to infrastructure hardware ahead of price increases) is the exact dynamic that drove CDW's Q1 beat and is expected to continue into Q2. IBM's commentary confirms that enterprise IT budget prioritization toward hardware was a real and widespread phenomenon through the June 2026 quarter.</w:t>
      </w:r>
    </w:p>
    <w:p>
      <w:pPr>
        <w:pStyle w:val="Heading3"/>
      </w:pPr>
      <w:r>
        <w:rPr>
          <w:rFonts w:ascii="Calibri" w:hAnsi="Calibri"/>
          <w:b/>
          <w:color w:val="3B4259"/>
          <w:sz w:val="24"/>
        </w:rPr>
        <w:t>Super Micro Computer (SMCI) — Preliminary Q4 FY2026 Update, July 21, 2026</w:t>
      </w:r>
    </w:p>
    <w:p>
      <w:r>
        <w:rPr>
          <w:rFonts w:ascii="Calibri" w:hAnsi="Calibri"/>
          <w:b/>
          <w:color w:val="525866"/>
          <w:sz w:val="22"/>
        </w:rPr>
        <w:t xml:space="preserve">Relevance: </w:t>
      </w:r>
      <w:r>
        <w:rPr>
          <w:rFonts w:ascii="Calibri" w:hAnsi="Calibri"/>
          <w:color w:val="525866"/>
          <w:sz w:val="22"/>
        </w:rPr>
        <w:t>SMCI's preliminary update for the quarter ended June 30, 2026 covers the same period as CDW's Q2 2026 and provides a direct read-through on AI server demand and backlog.</w:t>
      </w:r>
    </w:p>
    <w:p>
      <w:pPr>
        <w:pStyle w:val="ListBullet"/>
        <w:ind w:left="360" w:hanging="360"/>
      </w:pPr>
      <w:r>
        <w:rPr>
          <w:rFonts w:ascii="Calibri" w:hAnsi="Calibri"/>
          <w:b/>
          <w:color w:val="525866"/>
          <w:sz w:val="22"/>
        </w:rPr>
        <w:t xml:space="preserve">SMCI disclosed record backlog exceeding $60B in new orders </w:t>
      </w:r>
      <w:r>
        <w:rPr>
          <w:rFonts w:ascii="Calibri" w:hAnsi="Calibri"/>
          <w:color w:val="525866"/>
          <w:sz w:val="22"/>
        </w:rPr>
        <w:t>in Q4 FY2026 (ending June 30, 2026). CEO Charles Liang highlighted new work with SpaceX for a gigawatt-scale AI datacenter.</w:t>
      </w:r>
    </w:p>
    <w:p>
      <w:pPr>
        <w:pStyle w:val="ListBullet"/>
        <w:ind w:left="360" w:hanging="360"/>
      </w:pPr>
      <w:r>
        <w:rPr>
          <w:rFonts w:ascii="Calibri" w:hAnsi="Calibri"/>
          <w:b/>
          <w:color w:val="525866"/>
          <w:sz w:val="22"/>
        </w:rPr>
        <w:t xml:space="preserve">Gross margin guidance raised to 15–17% (from 8.2–8.4%), </w:t>
      </w:r>
      <w:r>
        <w:rPr>
          <w:rFonts w:ascii="Calibri" w:hAnsi="Calibri"/>
          <w:color w:val="525866"/>
          <w:sz w:val="22"/>
        </w:rPr>
        <w:t>attributed to "favorable customer and product mix." Revenue tracking to low end of $11–12.5B guidance.</w:t>
      </w:r>
    </w:p>
    <w:p>
      <w:pPr>
        <w:pStyle w:val="ListBullet"/>
        <w:ind w:left="360" w:hanging="360"/>
      </w:pPr>
      <w:r>
        <w:rPr>
          <w:rFonts w:ascii="Calibri" w:hAnsi="Calibri"/>
          <w:b/>
          <w:color w:val="525866"/>
          <w:sz w:val="22"/>
        </w:rPr>
        <w:t xml:space="preserve">The record backlog and margin improvement confirm that AI server demand remained robust through June 2026, </w:t>
      </w:r>
      <w:r>
        <w:rPr>
          <w:rFonts w:ascii="Calibri" w:hAnsi="Calibri"/>
          <w:color w:val="525866"/>
          <w:sz w:val="22"/>
        </w:rPr>
        <w:t>consistent with CDW's Q1 commentary about elevated infrastructure backlog entering Q2.</w:t>
      </w:r>
    </w:p>
    <w:p>
      <w:r>
        <w:rPr>
          <w:rFonts w:ascii="Calibri" w:hAnsi="Calibri"/>
          <w:b/>
          <w:color w:val="525866"/>
          <w:sz w:val="22"/>
        </w:rPr>
        <w:t xml:space="preserve">CDW Read-Through: </w:t>
      </w:r>
      <w:r>
        <w:rPr>
          <w:rFonts w:ascii="Calibri" w:hAnsi="Calibri"/>
          <w:color w:val="525866"/>
          <w:sz w:val="22"/>
        </w:rPr>
        <w:t>SMCI's record backlog through June 2026 confirms that AI infrastructure demand did not moderate in Q2. CDW, as a major server and infrastructure reseller, likely benefited from the same demand environment. The margin improvement at SMCI (from better product mix) is also consistent with CDW's thesis that AI-related infrastructure deals are margin-accretive.</w:t>
      </w:r>
    </w:p>
    <w:p>
      <w:pPr>
        <w:pStyle w:val="Heading3"/>
      </w:pPr>
      <w:r>
        <w:rPr>
          <w:rFonts w:ascii="Calibri" w:hAnsi="Calibri"/>
          <w:b/>
          <w:color w:val="3B4259"/>
          <w:sz w:val="24"/>
        </w:rPr>
        <w:t>Seagate Technology (STX) — Q4 FY2026 Earnings, July 28, 2026</w:t>
      </w:r>
    </w:p>
    <w:p>
      <w:r>
        <w:rPr>
          <w:rFonts w:ascii="Calibri" w:hAnsi="Calibri"/>
          <w:b/>
          <w:color w:val="525866"/>
          <w:sz w:val="22"/>
        </w:rPr>
        <w:t xml:space="preserve">Relevance: </w:t>
      </w:r>
      <w:r>
        <w:rPr>
          <w:rFonts w:ascii="Calibri" w:hAnsi="Calibri"/>
          <w:color w:val="525866"/>
          <w:sz w:val="22"/>
        </w:rPr>
        <w:t>Seagate's Q4 FY2026 (ending June 2026) covers the same period as CDW's Q2 2026. STX is a major storage vendor; CDW's enterprise and data storage segment was up &gt;20% in Q1 2026.</w:t>
      </w:r>
    </w:p>
    <w:p>
      <w:pPr>
        <w:pStyle w:val="ListBullet"/>
        <w:ind w:left="360" w:hanging="360"/>
      </w:pPr>
      <w:r>
        <w:rPr>
          <w:rFonts w:ascii="Calibri" w:hAnsi="Calibri"/>
          <w:b/>
          <w:color w:val="525866"/>
          <w:sz w:val="22"/>
        </w:rPr>
        <w:t xml:space="preserve">STX reported Q4 FY2026 adjusted EPS of $5.71 (vs. $5.10 consensus) </w:t>
      </w:r>
      <w:r>
        <w:rPr>
          <w:rFonts w:ascii="Calibri" w:hAnsi="Calibri"/>
          <w:color w:val="525866"/>
          <w:sz w:val="22"/>
        </w:rPr>
        <w:t>on revenue of $3.6B (+49% YoY, vs. $3.5B consensus). Stock surged ~8.8%.</w:t>
      </w:r>
    </w:p>
    <w:p>
      <w:pPr>
        <w:pStyle w:val="ListBullet"/>
        <w:ind w:left="360" w:hanging="360"/>
      </w:pPr>
      <w:r>
        <w:rPr>
          <w:rFonts w:ascii="Calibri" w:hAnsi="Calibri"/>
          <w:b/>
          <w:color w:val="525866"/>
          <w:sz w:val="22"/>
        </w:rPr>
        <w:t xml:space="preserve">Q1 FY2027 guidance of $7.30 EPS (vs. $5.85 consensus) and $4.1B revenue (vs. $3.8B consensus) </w:t>
      </w:r>
      <w:r>
        <w:rPr>
          <w:rFonts w:ascii="Calibri" w:hAnsi="Calibri"/>
          <w:color w:val="525866"/>
          <w:sz w:val="22"/>
        </w:rPr>
        <w:t>signals continued acceleration in storage demand driven by AI infrastructure buildout.</w:t>
      </w:r>
    </w:p>
    <w:p>
      <w:pPr>
        <w:pStyle w:val="ListBullet"/>
        <w:ind w:left="360" w:hanging="360"/>
      </w:pPr>
      <w:r>
        <w:rPr>
          <w:rFonts w:ascii="Calibri" w:hAnsi="Calibri"/>
          <w:color w:val="525866"/>
          <w:sz w:val="22"/>
        </w:rPr>
        <w:t>"Seagate continues to capture scale benefits from cloud demand for higher-capacity hard drives driven by AI infrastructure buildout."</w:t>
      </w:r>
    </w:p>
    <w:p>
      <w:r>
        <w:rPr>
          <w:rFonts w:ascii="Calibri" w:hAnsi="Calibri"/>
          <w:b/>
          <w:color w:val="525866"/>
          <w:sz w:val="22"/>
        </w:rPr>
        <w:t xml:space="preserve">CDW Read-Through: </w:t>
      </w:r>
      <w:r>
        <w:rPr>
          <w:rFonts w:ascii="Calibri" w:hAnsi="Calibri"/>
          <w:color w:val="525866"/>
          <w:sz w:val="22"/>
        </w:rPr>
        <w:t>STX's blowout Q4 and strong forward guidance confirm that enterprise and data storage demand remained robust through June 2026 and is accelerating. This is a direct positive for CDW's enterprise and data storage segment, which was already up &gt;20% in Q1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Commentary (Current Quarter / Forward)</w:t>
            </w:r>
          </w:p>
        </w:tc>
        <w:tc>
          <w:tcPr>
            <w:tcW w:type="dxa" w:w="1728"/>
            <w:shd w:val="clear" w:color="auto" w:fill="3B4259"/>
          </w:tcPr>
          <w:p>
            <w:r>
              <w:rPr>
                <w:rFonts w:ascii="Calibri" w:hAnsi="Calibri"/>
                <w:b/>
                <w:color w:val="FFFFFF"/>
                <w:sz w:val="22"/>
              </w:rPr>
              <w:t>CDW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TD SYNNEX (SNX)</w:t>
            </w:r>
          </w:p>
        </w:tc>
        <w:tc>
          <w:tcPr>
            <w:tcW w:type="dxa" w:w="1728"/>
          </w:tcPr>
          <w:p>
            <w:r>
              <w:rPr>
                <w:rFonts w:ascii="Calibri" w:hAnsi="Calibri"/>
                <w:sz w:val="22"/>
              </w:rPr>
              <w:t>Jun 25, 2026</w:t>
            </w:r>
          </w:p>
        </w:tc>
        <w:tc>
          <w:tcPr>
            <w:tcW w:type="dxa" w:w="1728"/>
          </w:tcPr>
          <w:p>
            <w:r>
              <w:rPr>
                <w:rFonts w:ascii="Calibri" w:hAnsi="Calibri"/>
                <w:sz w:val="22"/>
              </w:rPr>
              <w:t>Q3 FY2026 guidance: networking/storage/compute demand "very solid"; memory supply constraints flagged; PC unit elasticity risk; software/cloud/security growing double-digits</w:t>
            </w:r>
          </w:p>
        </w:tc>
        <w:tc>
          <w:tcPr>
            <w:tcW w:type="dxa" w:w="1728"/>
          </w:tcPr>
          <w:p>
            <w:r>
              <w:rPr>
                <w:rFonts w:ascii="Calibri" w:hAnsi="Calibri"/>
                <w:sz w:val="22"/>
              </w:rPr>
              <w:t>Infrastructure hardware demand robust through CDW's Q2; PC caution is mild negative; memory supply risk is two-sided</w:t>
            </w:r>
          </w:p>
        </w:tc>
        <w:tc>
          <w:tcPr>
            <w:tcW w:type="dxa" w:w="1728"/>
          </w:tcPr>
          <w:p>
            <w:r>
              <w:rPr>
                <w:rFonts w:ascii="Calibri" w:hAnsi="Calibri"/>
                <w:b/>
                <w:color w:val="30A46C"/>
                <w:sz w:val="22"/>
              </w:rPr>
              <w:t>Positive (infra) / Cautious (PC)</w:t>
            </w:r>
          </w:p>
        </w:tc>
      </w:tr>
      <w:tr>
        <w:tc>
          <w:tcPr>
            <w:tcW w:type="dxa" w:w="1728"/>
          </w:tcPr>
          <w:p>
            <w:r>
              <w:rPr>
                <w:rFonts w:ascii="Calibri" w:hAnsi="Calibri"/>
                <w:sz w:val="22"/>
              </w:rPr>
              <w:t>Microsoft (MSFT)</w:t>
            </w:r>
          </w:p>
        </w:tc>
        <w:tc>
          <w:tcPr>
            <w:tcW w:type="dxa" w:w="1728"/>
          </w:tcPr>
          <w:p>
            <w:r>
              <w:rPr>
                <w:rFonts w:ascii="Calibri" w:hAnsi="Calibri"/>
                <w:sz w:val="22"/>
              </w:rPr>
              <w:t>Jul 29–30, 2026</w:t>
            </w:r>
          </w:p>
        </w:tc>
        <w:tc>
          <w:tcPr>
            <w:tcW w:type="dxa" w:w="1728"/>
          </w:tcPr>
          <w:p>
            <w:r>
              <w:rPr>
                <w:rFonts w:ascii="Calibri" w:hAnsi="Calibri"/>
                <w:sz w:val="22"/>
              </w:rPr>
              <w:t>Azure +43% (fastest in 4 years); Copilot seats doubled to 30M; CapEx slightly below consensus; multi-model AI strategy</w:t>
            </w:r>
          </w:p>
        </w:tc>
        <w:tc>
          <w:tcPr>
            <w:tcW w:type="dxa" w:w="1728"/>
          </w:tcPr>
          <w:p>
            <w:r>
              <w:rPr>
                <w:rFonts w:ascii="Calibri" w:hAnsi="Calibri"/>
                <w:sz w:val="22"/>
              </w:rPr>
              <w:t>Enterprise AI software adoption accelerating; positive for CDW software/cloud attach and services</w:t>
            </w:r>
          </w:p>
        </w:tc>
        <w:tc>
          <w:tcPr>
            <w:tcW w:type="dxa" w:w="1728"/>
          </w:tcPr>
          <w:p>
            <w:r>
              <w:rPr>
                <w:rFonts w:ascii="Calibri" w:hAnsi="Calibri"/>
                <w:b/>
                <w:color w:val="30A46C"/>
                <w:sz w:val="22"/>
              </w:rPr>
              <w:t>Positive</w:t>
            </w:r>
          </w:p>
        </w:tc>
      </w:tr>
      <w:tr>
        <w:tc>
          <w:tcPr>
            <w:tcW w:type="dxa" w:w="1728"/>
          </w:tcPr>
          <w:p>
            <w:r>
              <w:rPr>
                <w:rFonts w:ascii="Calibri" w:hAnsi="Calibri"/>
                <w:sz w:val="22"/>
              </w:rPr>
              <w:t>Arista Networks (ANET)</w:t>
            </w:r>
          </w:p>
        </w:tc>
        <w:tc>
          <w:tcPr>
            <w:tcW w:type="dxa" w:w="1728"/>
          </w:tcPr>
          <w:p>
            <w:r>
              <w:rPr>
                <w:rFonts w:ascii="Calibri" w:hAnsi="Calibri"/>
                <w:sz w:val="22"/>
              </w:rPr>
              <w:t>Aug 4, 2026</w:t>
            </w:r>
          </w:p>
        </w:tc>
        <w:tc>
          <w:tcPr>
            <w:tcW w:type="dxa" w:w="1728"/>
          </w:tcPr>
          <w:p>
            <w:r>
              <w:rPr>
                <w:rFonts w:ascii="Calibri" w:hAnsi="Calibri"/>
                <w:sz w:val="22"/>
              </w:rPr>
              <w:t>Q2 revenue +38% YoY (beat); Q3 guided to $3.3B (vs. $2.95B consensus); AI infrastructure demand accelerating</w:t>
            </w:r>
          </w:p>
        </w:tc>
        <w:tc>
          <w:tcPr>
            <w:tcW w:type="dxa" w:w="1728"/>
          </w:tcPr>
          <w:p>
            <w:r>
              <w:rPr>
                <w:rFonts w:ascii="Calibri" w:hAnsi="Calibri"/>
                <w:sz w:val="22"/>
              </w:rPr>
              <w:t>Enterprise networking demand robust through June 2026 and accelerating; direct positive for CDW networking sales</w:t>
            </w:r>
          </w:p>
        </w:tc>
        <w:tc>
          <w:tcPr>
            <w:tcW w:type="dxa" w:w="1728"/>
          </w:tcPr>
          <w:p>
            <w:r>
              <w:rPr>
                <w:rFonts w:ascii="Calibri" w:hAnsi="Calibri"/>
                <w:b/>
                <w:color w:val="30A46C"/>
                <w:sz w:val="22"/>
              </w:rPr>
              <w:t>Positive</w:t>
            </w:r>
          </w:p>
        </w:tc>
      </w:tr>
      <w:tr>
        <w:tc>
          <w:tcPr>
            <w:tcW w:type="dxa" w:w="1728"/>
          </w:tcPr>
          <w:p>
            <w:r>
              <w:rPr>
                <w:rFonts w:ascii="Calibri" w:hAnsi="Calibri"/>
                <w:sz w:val="22"/>
              </w:rPr>
              <w:t>Apple (AAPL)</w:t>
            </w:r>
          </w:p>
        </w:tc>
        <w:tc>
          <w:tcPr>
            <w:tcW w:type="dxa" w:w="1728"/>
          </w:tcPr>
          <w:p>
            <w:r>
              <w:rPr>
                <w:rFonts w:ascii="Calibri" w:hAnsi="Calibri"/>
                <w:sz w:val="22"/>
              </w:rPr>
              <w:t>Jul 30, 2026</w:t>
            </w:r>
          </w:p>
        </w:tc>
        <w:tc>
          <w:tcPr>
            <w:tcW w:type="dxa" w:w="1728"/>
          </w:tcPr>
          <w:p>
            <w:r>
              <w:rPr>
                <w:rFonts w:ascii="Calibri" w:hAnsi="Calibri"/>
                <w:sz w:val="22"/>
              </w:rPr>
              <w:t>"Hundred-year flood" on memory pricing; severe supply constraints; Q4 guidance below consensus; MacBook Air delivery delays</w:t>
            </w:r>
          </w:p>
        </w:tc>
        <w:tc>
          <w:tcPr>
            <w:tcW w:type="dxa" w:w="1728"/>
          </w:tcPr>
          <w:p>
            <w:r>
              <w:rPr>
                <w:rFonts w:ascii="Calibri" w:hAnsi="Calibri"/>
                <w:sz w:val="22"/>
              </w:rPr>
              <w:t>Memory constraints driving enterprise hardware urgency (positive for CDW infra demand); delivery delays could push CDW revenue to Q3 (risk)</w:t>
            </w:r>
          </w:p>
        </w:tc>
        <w:tc>
          <w:tcPr>
            <w:tcW w:type="dxa" w:w="1728"/>
          </w:tcPr>
          <w:p>
            <w:r>
              <w:rPr>
                <w:rFonts w:ascii="Calibri" w:hAnsi="Calibri"/>
                <w:b/>
                <w:color w:val="002FA7"/>
                <w:sz w:val="22"/>
              </w:rPr>
              <w:t>Mixed (demand positive / supply risk)</w:t>
            </w:r>
          </w:p>
        </w:tc>
      </w:tr>
      <w:tr>
        <w:tc>
          <w:tcPr>
            <w:tcW w:type="dxa" w:w="1728"/>
          </w:tcPr>
          <w:p>
            <w:r>
              <w:rPr>
                <w:rFonts w:ascii="Calibri" w:hAnsi="Calibri"/>
                <w:sz w:val="22"/>
              </w:rPr>
              <w:t>IBM (IBM)</w:t>
            </w:r>
          </w:p>
        </w:tc>
        <w:tc>
          <w:tcPr>
            <w:tcW w:type="dxa" w:w="1728"/>
          </w:tcPr>
          <w:p>
            <w:r>
              <w:rPr>
                <w:rFonts w:ascii="Calibri" w:hAnsi="Calibri"/>
                <w:sz w:val="22"/>
              </w:rPr>
              <w:t>Jul 22–23, 2026</w:t>
            </w:r>
          </w:p>
        </w:tc>
        <w:tc>
          <w:tcPr>
            <w:tcW w:type="dxa" w:w="1728"/>
          </w:tcPr>
          <w:p>
            <w:r>
              <w:rPr>
                <w:rFonts w:ascii="Calibri" w:hAnsi="Calibri"/>
                <w:sz w:val="22"/>
              </w:rPr>
              <w:t>Q2 revenue miss; customers shifted budgets to infrastructure hardware ahead of 15–30% price increases; mainframe/software deferred</w:t>
            </w:r>
          </w:p>
        </w:tc>
        <w:tc>
          <w:tcPr>
            <w:tcW w:type="dxa" w:w="1728"/>
          </w:tcPr>
          <w:p>
            <w:r>
              <w:rPr>
                <w:rFonts w:ascii="Calibri" w:hAnsi="Calibri"/>
                <w:sz w:val="22"/>
              </w:rPr>
              <w:t>Budget shift to infrastructure hardware is the same dynamic driving CDW's demand; constructive read-through for CDW's Q2 infra revenue</w:t>
            </w:r>
          </w:p>
        </w:tc>
        <w:tc>
          <w:tcPr>
            <w:tcW w:type="dxa" w:w="1728"/>
          </w:tcPr>
          <w:p>
            <w:r>
              <w:rPr>
                <w:rFonts w:ascii="Calibri" w:hAnsi="Calibri"/>
                <w:b/>
                <w:color w:val="30A46C"/>
                <w:sz w:val="22"/>
              </w:rPr>
              <w:t>Positive (for CDW infra)</w:t>
            </w:r>
          </w:p>
        </w:tc>
      </w:tr>
      <w:tr>
        <w:tc>
          <w:tcPr>
            <w:tcW w:type="dxa" w:w="1728"/>
          </w:tcPr>
          <w:p>
            <w:r>
              <w:rPr>
                <w:rFonts w:ascii="Calibri" w:hAnsi="Calibri"/>
                <w:sz w:val="22"/>
              </w:rPr>
              <w:t>Super Micro (SMCI)</w:t>
            </w:r>
          </w:p>
        </w:tc>
        <w:tc>
          <w:tcPr>
            <w:tcW w:type="dxa" w:w="1728"/>
          </w:tcPr>
          <w:p>
            <w:r>
              <w:rPr>
                <w:rFonts w:ascii="Calibri" w:hAnsi="Calibri"/>
                <w:sz w:val="22"/>
              </w:rPr>
              <w:t>Jul 21, 2026</w:t>
            </w:r>
          </w:p>
        </w:tc>
        <w:tc>
          <w:tcPr>
            <w:tcW w:type="dxa" w:w="1728"/>
          </w:tcPr>
          <w:p>
            <w:r>
              <w:rPr>
                <w:rFonts w:ascii="Calibri" w:hAnsi="Calibri"/>
                <w:sz w:val="22"/>
              </w:rPr>
              <w:t>Record $60B+ backlog through June 2026; gross margin raised to 15–17%; AI server demand robust</w:t>
            </w:r>
          </w:p>
        </w:tc>
        <w:tc>
          <w:tcPr>
            <w:tcW w:type="dxa" w:w="1728"/>
          </w:tcPr>
          <w:p>
            <w:r>
              <w:rPr>
                <w:rFonts w:ascii="Calibri" w:hAnsi="Calibri"/>
                <w:sz w:val="22"/>
              </w:rPr>
              <w:t>AI infrastructure demand did not moderate in Q2; consistent with CDW's elevated backlog commentary</w:t>
            </w:r>
          </w:p>
        </w:tc>
        <w:tc>
          <w:tcPr>
            <w:tcW w:type="dxa" w:w="1728"/>
          </w:tcPr>
          <w:p>
            <w:r>
              <w:rPr>
                <w:rFonts w:ascii="Calibri" w:hAnsi="Calibri"/>
                <w:b/>
                <w:color w:val="30A46C"/>
                <w:sz w:val="22"/>
              </w:rPr>
              <w:t>Positive</w:t>
            </w:r>
          </w:p>
        </w:tc>
      </w:tr>
      <w:tr>
        <w:tc>
          <w:tcPr>
            <w:tcW w:type="dxa" w:w="1728"/>
          </w:tcPr>
          <w:p>
            <w:r>
              <w:rPr>
                <w:rFonts w:ascii="Calibri" w:hAnsi="Calibri"/>
                <w:sz w:val="22"/>
              </w:rPr>
              <w:t>Seagate (STX)</w:t>
            </w:r>
          </w:p>
        </w:tc>
        <w:tc>
          <w:tcPr>
            <w:tcW w:type="dxa" w:w="1728"/>
          </w:tcPr>
          <w:p>
            <w:r>
              <w:rPr>
                <w:rFonts w:ascii="Calibri" w:hAnsi="Calibri"/>
                <w:sz w:val="22"/>
              </w:rPr>
              <w:t>Jul 28, 2026</w:t>
            </w:r>
          </w:p>
        </w:tc>
        <w:tc>
          <w:tcPr>
            <w:tcW w:type="dxa" w:w="1728"/>
          </w:tcPr>
          <w:p>
            <w:r>
              <w:rPr>
                <w:rFonts w:ascii="Calibri" w:hAnsi="Calibri"/>
                <w:sz w:val="22"/>
              </w:rPr>
              <w:t>Q4 FY2026 revenue +49% YoY (beat); Q1 FY2027 guided well above consensus; AI-driven storage demand accelerating</w:t>
            </w:r>
          </w:p>
        </w:tc>
        <w:tc>
          <w:tcPr>
            <w:tcW w:type="dxa" w:w="1728"/>
          </w:tcPr>
          <w:p>
            <w:r>
              <w:rPr>
                <w:rFonts w:ascii="Calibri" w:hAnsi="Calibri"/>
                <w:sz w:val="22"/>
              </w:rPr>
              <w:t>Enterprise storage demand robust through June 2026; direct positive for CDW's enterprise &amp; data storage segment</w:t>
            </w:r>
          </w:p>
        </w:tc>
        <w:tc>
          <w:tcPr>
            <w:tcW w:type="dxa" w:w="1728"/>
          </w:tcPr>
          <w:p>
            <w:r>
              <w:rPr>
                <w:rFonts w:ascii="Calibri" w:hAnsi="Calibri"/>
                <w:b/>
                <w:color w:val="30A46C"/>
                <w:sz w:val="22"/>
              </w:rPr>
              <w:t>Positive</w:t>
            </w:r>
          </w:p>
        </w:tc>
      </w:tr>
    </w:tbl>
    <w:p>
      <w:r>
        <w:rPr>
          <w:rFonts w:ascii="Calibri" w:hAnsi="Calibri"/>
          <w:color w:val="525866"/>
          <w:sz w:val="22"/>
        </w:rPr>
        <w:t>Sources: TD SYNNEX Q2 FY2026 Earnings Call Transcript (June 25, 2026); Microsoft Q4 FY2026 Earnings (July 29–30, 2026); Arista Networks Q2 2026 Earnings Release (August 4, 2026); Apple Q3 FY2026 Earnings (July 30, 2026); IBM Q2 2026 Earnings (July 22–23, 2026); Super Micro Computer Preliminary Q4 FY2026 Update (July 21, 2026); Seagate Q4 FY2026 Earnings (July 28, 2026). All commentary is forward-looking or addresses the June 2026 quarter environment; backward-looking commentary about prior completed quarters has been excluded.</w:t>
      </w:r>
    </w:p>
    <w:p>
      <w:r>
        <w:rPr>
          <w:rFonts w:ascii="Calibri" w:hAnsi="Calibri"/>
          <w:b/>
          <w:color w:val="525866"/>
          <w:sz w:val="22"/>
        </w:rPr>
        <w:t xml:space="preserve">Excluded Peers: </w:t>
      </w:r>
      <w:r>
        <w:rPr>
          <w:rFonts w:ascii="Calibri" w:hAnsi="Calibri"/>
          <w:color w:val="525866"/>
          <w:sz w:val="22"/>
        </w:rPr>
        <w:t>Arrow Electronics (ARW) — no documents found in the database for the trailing 60 days. Cognizant (CTSH) Q2 2026 earnings (July 29) were noted but commentary was primarily about IT services/consulting rather than infrastructure hardware distribution, and thus not included as a direct CDW read-through.</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