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CEG (Constellation Energy) before writing the preview. Let me gather recent earnings, filings, and news.Let me gather recent news and stock price context, plus the year-ago Q2 figures for comparison.Let me get consensus estimates and recent developments via web search.# Constellation Energy (CEG) — Q2 2026 Earnings Preview</w:t>
      </w:r>
    </w:p>
    <w:bookmarkStart w:id="9" w:name="Xf066f1969b048278f49dd77b518e113f8cec683"/>
    <w:p>
      <w:pPr>
        <w:pStyle w:val="Heading3"/>
      </w:pPr>
      <w:r>
        <w:t xml:space="preserve">Reports before market open, Thursday, August 6, 2026 (10:00 a.m. ET call)</w:t>
      </w:r>
    </w:p>
    <w:p>
      <w:r>
        <w:pict>
          <v:rect style="width:0;height:1.5pt" o:hralign="center" o:hrstd="t" o:hr="t"/>
        </w:pict>
      </w:r>
    </w:p>
    <w:bookmarkEnd w:id="9"/>
    <w:bookmarkStart w:id="10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CEG heads into its first "clean" post-Calpine summer quarter with a beaten-down stock (down ~28% YTD), a full-year guide it has so far only</w:t>
      </w:r>
      <w:r>
        <w:t xml:space="preserve"> </w:t>
      </w:r>
      <w:r>
        <w:rPr>
          <w:i/>
          <w:iCs/>
        </w:rPr>
        <w:t xml:space="preserve">affirmed</w:t>
      </w:r>
      <w:r>
        <w:t xml:space="preserve">, and a market that increasingly wants two things: (1) evidence the Calpine deal is compounding as promised, and (2) a big, signed nuclear data-center deal — most likely Calvert Cliffs/Amazon — to re-rate the story. This is more of an "unlock the catalysts" quarter than a pure EPS-beat quarter.</w:t>
      </w:r>
    </w:p>
    <w:p>
      <w:r>
        <w:pict>
          <v:rect style="width:0;height:1.5pt" o:hralign="center" o:hrstd="t" o:hr="t"/>
        </w:pict>
      </w:r>
    </w:p>
    <w:bookmarkEnd w:id="10"/>
    <w:bookmarkStart w:id="11" w:name="what-the-numbers-should-look-like"/>
    <w:p>
      <w:pPr>
        <w:pStyle w:val="Heading2"/>
      </w:pPr>
      <w:r>
        <w:t xml:space="preserve">What the Numbers Should Look Like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Consensus / Guide</w:t>
            </w:r>
          </w:p>
        </w:tc>
        <w:tc>
          <w:tcPr/>
          <w:p>
            <w:pPr>
              <w:pStyle w:val="Compact"/>
            </w:pPr>
            <w:r>
              <w:t xml:space="preserve">Comparison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Q2 2026 adj. EPS</w:t>
            </w:r>
          </w:p>
        </w:tc>
        <w:tc>
          <w:tcPr/>
          <w:p>
            <w:pPr>
              <w:pStyle w:val="Compact"/>
            </w:pPr>
            <w:r>
              <w:t xml:space="preserve">~</w:t>
            </w:r>
            <m:oMath>
              <m:r>
                <m:t>2.24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2.35</w:t>
            </w:r>
            <w:r>
              <w:t xml:space="preserve"> </w:t>
            </w:r>
            <w:r>
              <w:t xml:space="preserve">(Street clustered ~$2.3)</w:t>
            </w:r>
          </w:p>
        </w:tc>
        <w:tc>
          <w:tcPr/>
          <w:p>
            <w:pPr>
              <w:pStyle w:val="Compact"/>
            </w:pPr>
            <w:r>
              <w:t xml:space="preserve">vs.</w:t>
            </w:r>
            <w:r>
              <w:t xml:space="preserve"> </w:t>
            </w:r>
            <w:r>
              <w:rPr>
                <w:b/>
                <w:bCs/>
              </w:rPr>
              <w:t xml:space="preserve">$1.91</w:t>
            </w:r>
            <w:r>
              <w:t xml:space="preserve"> </w:t>
            </w:r>
            <w:r>
              <w:t xml:space="preserve">in Q2'25 (+~20%)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 2026 adj. EPS guidance</w:t>
            </w:r>
          </w:p>
        </w:tc>
        <w:tc>
          <w:tcPr/>
          <w:p>
            <w:pPr>
              <w:pStyle w:val="Compact"/>
            </w:pPr>
            <m:oMath>
              <m:r>
                <m:t>11.00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12.00</w:t>
            </w:r>
            <w:r>
              <w:t xml:space="preserve"> </w:t>
            </w:r>
            <w:r>
              <w:t xml:space="preserve">(affirmed at Q1)</w:t>
            </w:r>
          </w:p>
        </w:tc>
        <w:tc>
          <w:tcPr/>
          <w:p>
            <w:pPr>
              <w:pStyle w:val="Compact"/>
            </w:pPr>
            <w:r>
              <w:t xml:space="preserve">Street ~</w:t>
            </w:r>
            <w:r>
              <w:rPr>
                <w:b/>
                <w:bCs/>
              </w:rPr>
              <w:t xml:space="preserve">$11.74</w:t>
            </w:r>
            <w:r>
              <w:t xml:space="preserve"> </w:t>
            </w:r>
            <w:r>
              <w:t xml:space="preserve">(near upper half)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 2026 revenue (Street)</w:t>
            </w:r>
          </w:p>
        </w:tc>
        <w:tc>
          <w:tcPr/>
          <w:p>
            <w:pPr>
              <w:pStyle w:val="Compact"/>
            </w:pPr>
            <w:r>
              <w:t xml:space="preserve">~</w:t>
            </w:r>
            <w:r>
              <w:rPr>
                <w:b/>
                <w:bCs/>
              </w:rPr>
              <w:t xml:space="preserve">$35.5B</w:t>
            </w:r>
          </w:p>
        </w:tc>
        <w:tc>
          <w:tcPr/>
          <w:p>
            <w:pPr>
              <w:pStyle w:val="Compact"/>
            </w:pPr>
            <w:r>
              <w:t xml:space="preserve">vs. FY'25 (+~39%, Calpine-driven)</w:t>
            </w:r>
          </w:p>
        </w:tc>
      </w:tr>
      <w:tr>
        <w:tc>
          <w:tcPr/>
          <w:p>
            <w:pPr>
              <w:pStyle w:val="Compact"/>
            </w:pPr>
            <w:r>
              <w:t xml:space="preserve">Q1 2026 actual (context)</w:t>
            </w:r>
          </w:p>
        </w:tc>
        <w:tc>
          <w:tcPr/>
          <w:p>
            <w:pPr>
              <w:pStyle w:val="Compact"/>
            </w:pPr>
            <w:r>
              <w:t xml:space="preserve">adj.</w:t>
            </w:r>
            <w:r>
              <w:t xml:space="preserve"> </w:t>
            </w:r>
            <w:r>
              <w:rPr>
                <w:b/>
                <w:bCs/>
              </w:rPr>
              <w:t xml:space="preserve">$2.74</w:t>
            </w:r>
            <w:r>
              <w:t xml:space="preserve"> </w:t>
            </w:r>
            <w:r>
              <w:t xml:space="preserve">(GAAP $4.49)</w:t>
            </w:r>
          </w:p>
        </w:tc>
        <w:tc>
          <w:tcPr/>
          <w:p>
            <w:pPr>
              <w:pStyle w:val="Compact"/>
            </w:pPr>
            <w:r>
              <w:t xml:space="preserve">vs. $2.14 in Q1'25</w:t>
            </w:r>
          </w:p>
        </w:tc>
      </w:tr>
    </w:tbl>
    <w:p>
      <w:pPr>
        <w:pStyle w:val="BodyText"/>
      </w:pPr>
      <w:r>
        <w:rPr>
          <w:b/>
          <w:bCs/>
        </w:rPr>
        <w:t xml:space="preserve">Key caveat on comps:</w:t>
      </w:r>
      <w:r>
        <w:t xml:space="preserve"> </w:t>
      </w:r>
      <w:r>
        <w:t xml:space="preserve">Year-over-year comparisons are noisy. Q2'25's $1.91 was a</w:t>
      </w:r>
      <w:r>
        <w:t xml:space="preserve"> </w:t>
      </w:r>
      <w:r>
        <w:rPr>
          <w:i/>
          <w:iCs/>
        </w:rPr>
        <w:t xml:space="preserve">pre-Calpine</w:t>
      </w:r>
      <w:r>
        <w:t xml:space="preserve"> </w:t>
      </w:r>
      <w:r>
        <w:t xml:space="preserve">number, and the FY guide jumped from FY'25's</w:t>
      </w:r>
      <w:r>
        <w:t xml:space="preserve"> </w:t>
      </w:r>
      <m:oMath>
        <m:r>
          <m:t>8.90</m:t>
        </m:r>
        <m:r>
          <m:rPr>
            <m:sty m:val="p"/>
          </m:rPr>
          <m:t>–</m:t>
        </m:r>
      </m:oMath>
      <w:r>
        <w:t xml:space="preserve">9.60 to</w:t>
      </w:r>
      <w:r>
        <w:t xml:space="preserve"> </w:t>
      </w:r>
      <m:oMath>
        <m:r>
          <m:t>11</m:t>
        </m:r>
        <m:r>
          <m:rPr>
            <m:sty m:val="p"/>
          </m:rPr>
          <m:t>–</m:t>
        </m:r>
      </m:oMath>
      <w:r>
        <w:t xml:space="preserve">12 largely because of Calpine accretion (~$2/share full-year) plus stronger PJM capacity prices. Focus on guidance trajectory and segment drivers rather than optical YoY growth.</w:t>
      </w:r>
    </w:p>
    <w:p>
      <w:r>
        <w:pict>
          <v:rect style="width:0;height:1.5pt" o:hralign="center" o:hrstd="t" o:hr="t"/>
        </w:pict>
      </w:r>
    </w:p>
    <w:bookmarkEnd w:id="11"/>
    <w:bookmarkStart w:id="17" w:name="the-five-things-that-actually-matter"/>
    <w:p>
      <w:pPr>
        <w:pStyle w:val="Heading2"/>
      </w:pPr>
      <w:r>
        <w:t xml:space="preserve">The Five Things That Actually Matter</w:t>
      </w:r>
    </w:p>
    <w:bookmarkStart w:id="12" w:name="Xe69f3c33f193ea9c1c87f77ed9612dfefc7bea8"/>
    <w:p>
      <w:pPr>
        <w:pStyle w:val="Heading3"/>
      </w:pPr>
      <w:r>
        <w:t xml:space="preserve">1. Does guidance move toward the upper half — or up?</w:t>
      </w:r>
    </w:p>
    <w:p>
      <w:pPr>
        <w:pStyle w:val="FirstParagraph"/>
      </w:pPr>
      <w:r>
        <w:t xml:space="preserve">At Q1, management affirmed</w:t>
      </w:r>
      <w:r>
        <w:t xml:space="preserve"> </w:t>
      </w:r>
      <m:oMath>
        <m:r>
          <m:t>11</m:t>
        </m:r>
        <m:r>
          <m:rPr>
            <m:sty m:val="p"/>
          </m:rPr>
          <m:t>–</m:t>
        </m:r>
      </m:oMath>
      <w:r>
        <w:t xml:space="preserve">12 and Dominguez explicitly said he'd want "at least another quarter" before gaining confidence in the upper half. Q2 is that quarter. With Q1 at</w:t>
      </w:r>
      <w:r>
        <w:t xml:space="preserve"> </w:t>
      </w:r>
      <m:oMath>
        <m:r>
          <m:t>2.74</m:t>
        </m:r>
        <m:r>
          <m:t>a</m:t>
        </m:r>
        <m:r>
          <m:t>n</m:t>
        </m:r>
        <m:r>
          <m:t>d</m:t>
        </m:r>
        <m:r>
          <m:t> </m:t>
        </m:r>
      </m:oMath>
      <w:r>
        <w:t xml:space="preserve">2.3 expected in Q2, the first-half run-rate (~$5.0) tracks comfortably inside the range. Watch for: language nudging toward the top half, and any raise. A simple re-affirm with the stock this depressed could disappoint.</w:t>
      </w:r>
    </w:p>
    <w:bookmarkEnd w:id="12"/>
    <w:bookmarkStart w:id="13" w:name="X201245dac75294fa6b0e86f8ec11bc5ecfc85aa"/>
    <w:p>
      <w:pPr>
        <w:pStyle w:val="Heading3"/>
      </w:pPr>
      <w:r>
        <w:t xml:space="preserve">2. Calpine integration, synergies, and the lock-up overhang</w:t>
      </w:r>
    </w:p>
    <w:p>
      <w:pPr>
        <w:pStyle w:val="FirstParagraph"/>
      </w:pPr>
      <w:r>
        <w:t xml:space="preserve">This is the first full quarter with Calpine fully in the run-rate. Watch for: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Synergy/integration progress</w:t>
      </w:r>
      <w:r>
        <w:t xml:space="preserve"> </w:t>
      </w:r>
      <w:r>
        <w:t xml:space="preserve">and merger-cost cadence (Calpine merger/integration costs were a $0.34 non-GAAP add-back in Q1).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Gas/thermal fleet performance</w:t>
      </w:r>
      <w:r>
        <w:t xml:space="preserve"> </w:t>
      </w:r>
      <w:r>
        <w:t xml:space="preserve">— new metric EFOF (4.5% in Q1); CCGT+cogen ran a ~47% capacity factor / ~5% forced-outage factor. Summer is prime dispatch season, so utilization and spark spreads matter here.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Share overhang:</w:t>
      </w:r>
      <w:r>
        <w:t xml:space="preserve"> </w:t>
      </w:r>
      <w:r>
        <w:t xml:space="preserve">The first Calpine lock-up (25M of the 50M shares issued) expired</w:t>
      </w:r>
      <w:r>
        <w:t xml:space="preserve"> </w:t>
      </w:r>
      <w:r>
        <w:rPr>
          <w:b/>
          <w:bCs/>
        </w:rPr>
        <w:t xml:space="preserve">June 30, 2026</w:t>
      </w:r>
      <w:r>
        <w:t xml:space="preserve">; the remaining 25M frees up June 30, 2027. Management sized the $5B buyback partly to absorb potential selling — expect a question on whether a block/secondary transaction materialized.</w:t>
      </w:r>
    </w:p>
    <w:bookmarkEnd w:id="13"/>
    <w:bookmarkStart w:id="14" w:name="X01e2c640c4395a94b0716c2ffb858104a10140d"/>
    <w:p>
      <w:pPr>
        <w:pStyle w:val="Heading3"/>
      </w:pPr>
      <w:r>
        <w:t xml:space="preserve">3. Data-center / "Powered Land" deals — the real catalyst</w:t>
      </w:r>
    </w:p>
    <w:p>
      <w:pPr>
        <w:pStyle w:val="FirstParagraph"/>
      </w:pPr>
      <w:r>
        <w:t xml:space="preserve">The market is waiting on a marquee nuclear PPA. Watch specifically: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Calvert Cliffs / Amazon</w:t>
      </w:r>
      <w:r>
        <w:t xml:space="preserve"> </w:t>
      </w:r>
      <w:r>
        <w:t xml:space="preserve">— widely reported (since the March business update) that Amazon wants large data-center campuses at the site. A signed deal here would be the single biggest potential re-rating event.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CyrusOne / Freestone (ERCOT):</w:t>
      </w:r>
      <w:r>
        <w:t xml:space="preserve"> </w:t>
      </w:r>
      <w:r>
        <w:t xml:space="preserve">380 MW Phase 1 substation under construction, expected to</w:t>
      </w:r>
      <w:r>
        <w:t xml:space="preserve"> </w:t>
      </w:r>
      <w:r>
        <w:rPr>
          <w:b/>
          <w:bCs/>
        </w:rPr>
        <w:t xml:space="preserve">energize in Q4 2026</w:t>
      </w:r>
      <w:r>
        <w:t xml:space="preserve">, plus an exclusive 380 MW Phase 2. Look for schedule confirmation.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~5,000 MW</w:t>
      </w:r>
      <w:r>
        <w:t xml:space="preserve"> </w:t>
      </w:r>
      <w:r>
        <w:t xml:space="preserve">of new capacity (nuclear uprates, new gas, batteries) submitted into PJM's queue as contract-ready supply.</w:t>
      </w:r>
    </w:p>
    <w:p>
      <w:pPr>
        <w:pStyle w:val="Compact"/>
        <w:numPr>
          <w:ilvl w:val="0"/>
          <w:numId w:val="1002"/>
        </w:numPr>
      </w:pPr>
      <w:r>
        <w:t xml:space="preserve">Precedent: Clinton/Meta 20-year PPA (starts June 2027). Any similar-scale nuclear offtake announcement is the upside lever.</w:t>
      </w:r>
    </w:p>
    <w:bookmarkEnd w:id="14"/>
    <w:bookmarkStart w:id="15" w:name="Xc08b5ec2181854570ec75bb7d7e6491c5d97faf"/>
    <w:p>
      <w:pPr>
        <w:pStyle w:val="Heading3"/>
      </w:pPr>
      <w:r>
        <w:t xml:space="preserve">4. PJM regulatory clarity (the gating item) + the capacity auction print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Regulatory framework:</w:t>
      </w:r>
      <w:r>
        <w:t xml:space="preserve"> </w:t>
      </w:r>
      <w:r>
        <w:t xml:space="preserve">At Q1, Dominguez said PJM aimed to submit its large-load "backstop" and co-location framework to FERC around June, and expected clarity "by the end of the year." An update on where FERC/PJM landed, and whether the 2029 co-location implementation date got pulled forward, is critical — this is what's pausing some hyperscaler contracts.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Capacity auction (already out):</w:t>
      </w:r>
      <w:r>
        <w:t xml:space="preserve"> </w:t>
      </w:r>
      <w:r>
        <w:t xml:space="preserve">On</w:t>
      </w:r>
      <w:r>
        <w:t xml:space="preserve"> </w:t>
      </w:r>
      <w:r>
        <w:rPr>
          <w:b/>
          <w:bCs/>
        </w:rPr>
        <w:t xml:space="preserve">July 14, 2026</w:t>
      </w:r>
      <w:r>
        <w:t xml:space="preserve">, CEG disclosed it cleared</w:t>
      </w:r>
      <w:r>
        <w:t xml:space="preserve"> </w:t>
      </w:r>
      <w:r>
        <w:rPr>
          <w:b/>
          <w:bCs/>
        </w:rPr>
        <w:t xml:space="preserve">18,875 MW</w:t>
      </w:r>
      <w:r>
        <w:t xml:space="preserve"> </w:t>
      </w:r>
      <w:r>
        <w:t xml:space="preserve">in the PJM 2028/29 base residual auction (up from 17,950 MW), at prices that reportedly hit the</w:t>
      </w:r>
      <w:r>
        <w:t xml:space="preserve"> </w:t>
      </w:r>
      <w:r>
        <w:rPr>
          <w:b/>
          <w:bCs/>
        </w:rPr>
        <w:t xml:space="preserve">~</w:t>
      </w:r>
      <m:oMath>
        <m:r>
          <m:t>325</m:t>
        </m:r>
        <m:r>
          <m:t>p</m:t>
        </m:r>
        <m:r>
          <m:t>r</m:t>
        </m:r>
        <m:r>
          <m:t>i</m:t>
        </m:r>
        <m:r>
          <m:t>c</m:t>
        </m:r>
        <m:r>
          <m:t>e</m:t>
        </m:r>
        <m:r>
          <m:t>c</m:t>
        </m:r>
        <m:r>
          <m:t>a</m:t>
        </m:r>
        <m:r>
          <m:t>p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i</m:t>
        </m:r>
        <m:r>
          <m:t>m</m:t>
        </m:r>
        <m:r>
          <m:t>p</m:t>
        </m:r>
        <m:r>
          <m:t>l</m:t>
        </m:r>
        <m:r>
          <m:t>y</m:t>
        </m:r>
        <m:r>
          <m:t>i</m:t>
        </m:r>
        <m:r>
          <m:t>n</m:t>
        </m:r>
        <m:r>
          <m:t>g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rPr>
          <w:b/>
          <w:bCs/>
        </w:rPr>
        <w:t xml:space="preserve">2.2B</w:t>
      </w:r>
      <w:r>
        <w:t xml:space="preserve"> </w:t>
      </w:r>
      <w:r>
        <w:t xml:space="preserve">of capacity revenue for that delivery year. This is a known tailwind feeding the out-year outlook — expect it framed as supporting the &gt;20% base EPS growth-through-2029 narrative.</w:t>
      </w:r>
    </w:p>
    <w:bookmarkEnd w:id="15"/>
    <w:bookmarkStart w:id="16" w:name="X06b7f35b695a2f2ffe8f5ddde20bae5a56a4bc2"/>
    <w:p>
      <w:pPr>
        <w:pStyle w:val="Heading3"/>
      </w:pPr>
      <w:r>
        <w:t xml:space="preserve">5. Crane (ex-TMI) restart + nuclear uprates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Crane Clean Energy Center:</w:t>
      </w:r>
      <w:r>
        <w:t xml:space="preserve"> </w:t>
      </w:r>
      <w:r>
        <w:t xml:space="preserve">on track to return to service in</w:t>
      </w:r>
      <w:r>
        <w:t xml:space="preserve"> </w:t>
      </w:r>
      <w:r>
        <w:rPr>
          <w:b/>
          <w:bCs/>
        </w:rPr>
        <w:t xml:space="preserve">2027</w:t>
      </w:r>
      <w:r>
        <w:t xml:space="preserve"> </w:t>
      </w:r>
      <w:r>
        <w:t xml:space="preserve">(ahead of original schedule). The live issue is the</w:t>
      </w:r>
      <w:r>
        <w:t xml:space="preserve"> </w:t>
      </w:r>
      <w:r>
        <w:rPr>
          <w:b/>
          <w:bCs/>
        </w:rPr>
        <w:t xml:space="preserve">CIR transfer from Eddystone</w:t>
      </w:r>
      <w:r>
        <w:t xml:space="preserve"> </w:t>
      </w:r>
      <w:r>
        <w:t xml:space="preserve">filed at FERC to secure a 2027 capacity credit — management expected a FERC response in the June/July window, so an update is likely.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Uprates:</w:t>
      </w:r>
      <w:r>
        <w:t xml:space="preserve"> </w:t>
      </w:r>
      <w:r>
        <w:t xml:space="preserve">Byron and Braidwood are in-plan; other uprate capital is being spent but EPS accretion isn't modeled until ~2030. Watch for any pull-forward.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capital-allocation--cash"/>
    <w:p>
      <w:pPr>
        <w:pStyle w:val="Heading2"/>
      </w:pPr>
      <w:r>
        <w:t xml:space="preserve">Capital Allocation &amp; Cash</w:t>
      </w:r>
    </w:p>
    <w:p>
      <w:pPr>
        <w:pStyle w:val="FirstParagraph"/>
      </w:pPr>
      <w:r>
        <w:t xml:space="preserve">Management leaned hard into the FCF story last quarter:</w:t>
      </w:r>
      <w:r>
        <w:t xml:space="preserve"> </w:t>
      </w:r>
      <w:r>
        <w:rPr>
          <w:b/>
          <w:bCs/>
        </w:rPr>
        <w:t xml:space="preserve">~</w:t>
      </w:r>
      <m:oMath>
        <m:r>
          <m:t>8.4</m:t>
        </m:r>
        <m:r>
          <m:t>B</m:t>
        </m:r>
        <m:r>
          <m:t>F</m:t>
        </m:r>
        <m:r>
          <m:t>C</m:t>
        </m:r>
        <m:r>
          <m:t>F</m:t>
        </m:r>
        <m:r>
          <m:rPr>
            <m:sty m:val="p"/>
          </m:rPr>
          <m:t>−</m:t>
        </m:r>
        <m:r>
          <m:t>b</m:t>
        </m:r>
        <m:r>
          <m:t>e</m:t>
        </m:r>
        <m:r>
          <m:t>f</m:t>
        </m:r>
        <m:r>
          <m:t>o</m:t>
        </m:r>
        <m:r>
          <m:t>r</m:t>
        </m:r>
        <m:r>
          <m:t>e</m:t>
        </m:r>
        <m:r>
          <m:rPr>
            <m:sty m:val="p"/>
          </m:rPr>
          <m:t>−</m:t>
        </m:r>
        <m:r>
          <m:t>g</m:t>
        </m:r>
        <m:r>
          <m:t>r</m:t>
        </m:r>
        <m:r>
          <m:t>o</m:t>
        </m:r>
        <m:r>
          <m:t>w</m:t>
        </m:r>
        <m:r>
          <m:t>t</m:t>
        </m:r>
        <m:r>
          <m:t>h</m:t>
        </m:r>
        <m:r>
          <m:t>f</m:t>
        </m:r>
        <m:r>
          <m:t>o</m:t>
        </m:r>
        <m:r>
          <m:t>r</m:t>
        </m:r>
        <m:r>
          <m:t>2026</m:t>
        </m:r>
        <m:r>
          <m:rPr>
            <m:sty m:val="p"/>
          </m:rPr>
          <m:t>–</m:t>
        </m:r>
        <m:r>
          <m:t>27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r</m:t>
        </m:r>
        <m:r>
          <m:t>i</m:t>
        </m:r>
        <m:r>
          <m:t>s</m:t>
        </m:r>
        <m:r>
          <m:t>i</m:t>
        </m:r>
        <m:r>
          <m:t>n</m:t>
        </m:r>
        <m:r>
          <m:t>g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11.5–</w:t>
      </w:r>
      <m:oMath>
        <m:r>
          <m:t>13</m:t>
        </m:r>
        <m:r>
          <m:t>B</m:t>
        </m:r>
        <m:r>
          <m:t>f</m:t>
        </m:r>
        <m:r>
          <m:t>o</m:t>
        </m:r>
        <m:r>
          <m:t>r</m:t>
        </m:r>
        <m:r>
          <m:t>2028</m:t>
        </m:r>
        <m:r>
          <m:rPr>
            <m:sty m:val="p"/>
          </m:rPr>
          <m:t>–</m:t>
        </m:r>
        <m:r>
          <m:t>29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.</m:t>
        </m:r>
        <m:r>
          <m:t>F</m:t>
        </m:r>
        <m:r>
          <m:t>r</m:t>
        </m:r>
        <m:r>
          <m:t>a</m:t>
        </m:r>
        <m:r>
          <m:t>m</m:t>
        </m:r>
        <m:r>
          <m:t>e</m:t>
        </m:r>
        <m:r>
          <m:t>w</m:t>
        </m:r>
        <m:r>
          <m:t>o</m:t>
        </m:r>
        <m:r>
          <m:t>r</m:t>
        </m:r>
        <m:r>
          <m:t>k</m:t>
        </m:r>
        <m:r>
          <m:rPr>
            <m:sty m:val="p"/>
          </m:rPr>
          <m:t>=</m:t>
        </m:r>
        <m:r>
          <m:t>i</m:t>
        </m:r>
        <m:r>
          <m:t>n</m:t>
        </m:r>
        <m:r>
          <m:t>v</m:t>
        </m:r>
        <m:r>
          <m:t>e</m:t>
        </m:r>
        <m:r>
          <m:t>s</m:t>
        </m:r>
        <m:r>
          <m:t>t</m:t>
        </m:r>
        <m:r>
          <m:t>m</m:t>
        </m:r>
        <m:r>
          <m:t>e</m:t>
        </m:r>
        <m:r>
          <m:t>n</m:t>
        </m:r>
        <m:r>
          <m:t>t</m:t>
        </m:r>
        <m:r>
          <m:rPr>
            <m:sty m:val="p"/>
          </m:rPr>
          <m:t>−</m:t>
        </m:r>
        <m:r>
          <m:t>g</m:t>
        </m:r>
        <m:r>
          <m:t>r</m:t>
        </m:r>
        <m:r>
          <m:t>a</m:t>
        </m:r>
        <m:r>
          <m:t>d</m:t>
        </m:r>
        <m:r>
          <m:t>e</m:t>
        </m:r>
        <m:r>
          <m:t>m</m:t>
        </m:r>
        <m:r>
          <m:t>e</m:t>
        </m:r>
        <m:r>
          <m:t>t</m:t>
        </m:r>
        <m:r>
          <m:t>r</m:t>
        </m:r>
        <m:r>
          <m:t>i</m:t>
        </m:r>
        <m:r>
          <m:t>c</m:t>
        </m:r>
        <m:r>
          <m:t>s</m:t>
        </m:r>
        <m:r>
          <m:rPr>
            <m:sty m:val="p"/>
          </m:rPr>
          <m:t>,</m:t>
        </m:r>
        <m:r>
          <m:t>10</m:t>
        </m:r>
      </m:oMath>
      <w:r>
        <w:rPr>
          <w:b/>
          <w:bCs/>
        </w:rPr>
        <w:t xml:space="preserve">285</w:t>
      </w:r>
      <w:r>
        <w:t xml:space="preserve"> </w:t>
      </w:r>
      <w:r>
        <w:t xml:space="preserve">($335M) under the</w:t>
      </w:r>
      <w:r>
        <w:t xml:space="preserve"> </w:t>
      </w:r>
      <m:oMath>
        <m:r>
          <m:t>5</m:t>
        </m:r>
        <m:r>
          <m:t>B</m:t>
        </m:r>
        <m:r>
          <m:t>a</m:t>
        </m:r>
        <m:r>
          <m:t>u</m:t>
        </m:r>
        <m:r>
          <m:t>t</m:t>
        </m:r>
        <m:r>
          <m:t>h</m:t>
        </m:r>
        <m:r>
          <m:t>o</m:t>
        </m:r>
        <m:r>
          <m:t>r</m:t>
        </m:r>
        <m:r>
          <m:t>i</m:t>
        </m:r>
        <m:r>
          <m:t>z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.</m:t>
        </m:r>
        <m:r>
          <m:t>W</m:t>
        </m:r>
        <m:r>
          <m:t>i</m:t>
        </m:r>
        <m:r>
          <m:t>t</m:t>
        </m:r>
        <m:r>
          <m:t>h</m:t>
        </m:r>
        <m:r>
          <m:t>t</m:t>
        </m:r>
        <m:r>
          <m:t>h</m:t>
        </m:r>
        <m:r>
          <m:t>e</m:t>
        </m:r>
        <m:r>
          <m:t>s</m:t>
        </m:r>
        <m:r>
          <m:t>t</m:t>
        </m:r>
        <m:r>
          <m:t>o</m:t>
        </m:r>
        <m:r>
          <m:t>c</m:t>
        </m:r>
        <m:r>
          <m:t>k</m:t>
        </m:r>
        <m:r>
          <m:t>n</m:t>
        </m:r>
        <m:r>
          <m:t>o</m:t>
        </m:r>
        <m:r>
          <m:t>w</m:t>
        </m:r>
        <m:r>
          <m:t>i</m:t>
        </m:r>
        <m:r>
          <m:t>n</m:t>
        </m:r>
        <m:r>
          <m:t>t</m:t>
        </m:r>
        <m:r>
          <m:t>h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260s**, watch for a more aggressive buyback pace — and note management framed ~</w:t>
      </w:r>
      <w:r>
        <w:t xml:space="preserve">$285 as "compelling," so ~$</w:t>
      </w:r>
      <w:r>
        <w:t xml:space="preserve">265 should be even more so.</w:t>
      </w:r>
    </w:p>
    <w:p>
      <w:r>
        <w:pict>
          <v:rect style="width:0;height:1.5pt" o:hralign="center" o:hrstd="t" o:hr="t"/>
        </w:pict>
      </w:r>
    </w:p>
    <w:bookmarkEnd w:id="18"/>
    <w:bookmarkStart w:id="19" w:name="sentiment--stock-context"/>
    <w:p>
      <w:pPr>
        <w:pStyle w:val="Heading2"/>
      </w:pPr>
      <w:r>
        <w:t xml:space="preserve">Sentiment / Stock Context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Price action:</w:t>
      </w:r>
      <w:r>
        <w:t xml:space="preserve"> </w:t>
      </w:r>
      <w:r>
        <w:t xml:space="preserve">CEG opened 2026 at ~</w:t>
      </w:r>
      <m:oMath>
        <m:r>
          <m:t>366</m:t>
        </m:r>
        <m:r>
          <m:t>a</m:t>
        </m:r>
        <m:r>
          <m:t>n</m:t>
        </m:r>
        <m:r>
          <m:t>d</m:t>
        </m:r>
        <m:r>
          <m:t>s</m:t>
        </m:r>
        <m:r>
          <m:t>i</m:t>
        </m:r>
        <m:r>
          <m:t>t</m:t>
        </m:r>
        <m:r>
          <m:t>s</m:t>
        </m:r>
        <m:r>
          <m:t>a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t xml:space="preserve">265** (Aug 5) — down roughly 28% YTD, and having bounced off a July low near $236. Peer Vistra (VST) has followed a similar down-then-stabilize path.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Sell-side trims:</w:t>
      </w:r>
      <w:r>
        <w:t xml:space="preserve"> </w:t>
      </w:r>
      <w:r>
        <w:t xml:space="preserve">In late July, several shops cut targets while staying constructive — **UBS to $380, BMO to $376, BofA to</w:t>
      </w:r>
      <w:r>
        <w:t xml:space="preserve"> </w:t>
      </w:r>
      <m:oMath>
        <m:r>
          <m:t>341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—</m:t>
        </m:r>
        <m:r>
          <m:t>w</m:t>
        </m:r>
        <m:r>
          <m:t>i</m:t>
        </m:r>
        <m:r>
          <m:t>t</m:t>
        </m:r>
        <m:r>
          <m:t>h</m:t>
        </m:r>
        <m:r>
          <m:t>t</m:t>
        </m:r>
        <m:r>
          <m:t>h</m:t>
        </m:r>
        <m:r>
          <m:t>e</m:t>
        </m:r>
        <m:r>
          <m:t>M</m:t>
        </m:r>
        <m:r>
          <m:t>a</m:t>
        </m:r>
        <m:r>
          <m:t>r</m:t>
        </m:r>
        <m:r>
          <m:t>k</m:t>
        </m:r>
        <m:r>
          <m:t>e</m:t>
        </m:r>
        <m:r>
          <m:t>t</m:t>
        </m:r>
        <m:r>
          <m:t>B</m:t>
        </m:r>
        <m:r>
          <m:t>e</m:t>
        </m:r>
        <m:r>
          <m:t>a</m:t>
        </m:r>
        <m:r>
          <m:t>t</m:t>
        </m:r>
        <m:r>
          <m:t>c</m:t>
        </m:r>
        <m:r>
          <m:t>o</m:t>
        </m:r>
        <m:r>
          <m:t>n</m:t>
        </m:r>
        <m:r>
          <m:t>s</m:t>
        </m:r>
        <m:r>
          <m:t>e</m:t>
        </m:r>
        <m:r>
          <m:t>n</m:t>
        </m:r>
        <m:r>
          <m:t>s</m:t>
        </m:r>
        <m:r>
          <m:t>u</m:t>
        </m:r>
        <m:r>
          <m:t>s</m:t>
        </m:r>
        <m:r>
          <m:t>t</m:t>
        </m:r>
        <m:r>
          <m:t>a</m:t>
        </m:r>
        <m:r>
          <m:t>r</m:t>
        </m:r>
        <m:r>
          <m:t>g</m:t>
        </m:r>
        <m:r>
          <m:t>e</m:t>
        </m:r>
        <m:r>
          <m:t>t</m:t>
        </m:r>
        <m:r>
          <m:t>s</m:t>
        </m:r>
        <m:r>
          <m:t>t</m:t>
        </m:r>
        <m:r>
          <m:t>i</m:t>
        </m:r>
        <m:r>
          <m:t>l</m:t>
        </m:r>
        <m:r>
          <m:t>l</m:t>
        </m:r>
        <m:r>
          <m:t>w</m:t>
        </m:r>
        <m:r>
          <m:t>e</m:t>
        </m:r>
        <m:r>
          <m:t>l</m:t>
        </m:r>
        <m:r>
          <m:t>l</m:t>
        </m:r>
        <m:r>
          <m:t>a</m:t>
        </m:r>
        <m:r>
          <m:t>b</m:t>
        </m:r>
        <m:r>
          <m:t>o</m:t>
        </m:r>
        <m:r>
          <m:t>v</m:t>
        </m:r>
        <m:r>
          <m:t>e</m:t>
        </m:r>
        <m:r>
          <m:t>s</m:t>
        </m:r>
        <m:r>
          <m:t>p</m:t>
        </m:r>
        <m:r>
          <m:t>o</m:t>
        </m:r>
        <m:r>
          <m:t>t</m:t>
        </m:r>
        <m:r>
          <m:rPr>
            <m:sty m:val="p"/>
          </m:rPr>
          <m:t>(</m:t>
        </m:r>
        <m:r>
          <m:t> </m:t>
        </m:r>
      </m:oMath>
      <w:r>
        <w:t xml:space="preserve">360). The gap between targets and price signals the Street sees value but wants catalysts.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Why the derate:</w:t>
      </w:r>
      <w:r>
        <w:t xml:space="preserve"> </w:t>
      </w:r>
      <w:r>
        <w:t xml:space="preserve">softer ERCOT forward power curves (management called ERCOT out-years "undervalued"), the PJM regulatory limbo delaying contract signings, and the Calpine share overhang. A print that de-risks any of these could move the stock meaningfully.</w:t>
      </w:r>
    </w:p>
    <w:bookmarkEnd w:id="19"/>
    <w:bookmarkStart w:id="20" w:name="other-notes"/>
    <w:p>
      <w:pPr>
        <w:pStyle w:val="Heading2"/>
      </w:pPr>
      <w:r>
        <w:t xml:space="preserve">Other Notes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Governance:</w:t>
      </w:r>
      <w:r>
        <w:t xml:space="preserve"> </w:t>
      </w:r>
      <w:r>
        <w:t xml:space="preserve">On Aug 5, CEG named CEO</w:t>
      </w:r>
      <w:r>
        <w:t xml:space="preserve"> </w:t>
      </w:r>
      <w:r>
        <w:rPr>
          <w:b/>
          <w:bCs/>
        </w:rPr>
        <w:t xml:space="preserve">Joe Dominguez Board Chair</w:t>
      </w:r>
      <w:r>
        <w:t xml:space="preserve"> </w:t>
      </w:r>
      <w:r>
        <w:t xml:space="preserve">and appointed a Lead Independent Director — a governance item, not a fundamental driver, but expect it acknowledged.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Weather/one-timers:</w:t>
      </w:r>
      <w:r>
        <w:t xml:space="preserve"> </w:t>
      </w:r>
      <w:r>
        <w:t xml:space="preserve">Q1 carried a modest drag from Winter Storm Fern (ancillary/reserve costs). Summer heat and any nuclear/thermal outage days are the Q2 swing factors — note Q2'25 had an elevated 22 non-refueling outage days, so the outage comp is favorable if the fleet ran clean.</w:t>
      </w:r>
    </w:p>
    <w:p>
      <w:r>
        <w:pict>
          <v:rect style="width:0;height:1.5pt" o:hralign="center" o:hrstd="t" o:hr="t"/>
        </w:pict>
      </w:r>
    </w:p>
    <w:bookmarkEnd w:id="20"/>
    <w:bookmarkStart w:id="21" w:name="bottom-line--what-to-listen-for"/>
    <w:p>
      <w:pPr>
        <w:pStyle w:val="Heading2"/>
      </w:pPr>
      <w:r>
        <w:t xml:space="preserve">Bottom Line — What to Listen For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Guidance tone</w:t>
      </w:r>
      <w:r>
        <w:t xml:space="preserve"> </w:t>
      </w:r>
      <w:r>
        <w:t xml:space="preserve">— affirm vs. lean-to-upper-half vs. raise.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A named nuclear data-center deal</w:t>
      </w:r>
      <w:r>
        <w:t xml:space="preserve"> </w:t>
      </w:r>
      <w:r>
        <w:t xml:space="preserve">(Calvert Cliffs is the one to watch) — the biggest potential upside surprise.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PJM/FERC framework status</w:t>
      </w:r>
      <w:r>
        <w:t xml:space="preserve"> </w:t>
      </w:r>
      <w:r>
        <w:t xml:space="preserve">— the key that unlocks paused hyperscaler contracts.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Buyback pace</w:t>
      </w:r>
      <w:r>
        <w:t xml:space="preserve"> </w:t>
      </w:r>
      <w:r>
        <w:t xml:space="preserve">at a depressed stock price, and any color on the June 30 Calpine lock-up.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Calpine run-rate execution</w:t>
      </w:r>
      <w:r>
        <w:t xml:space="preserve"> </w:t>
      </w:r>
      <w:r>
        <w:t xml:space="preserve">— synergies, gas-fleet summer utilization, and integration-cost tail.</w:t>
      </w:r>
    </w:p>
    <w:p>
      <w:pPr>
        <w:pStyle w:val="FirstParagraph"/>
      </w:pPr>
      <w:r>
        <w:t xml:space="preserve">Given the affirmed guide and improving first-half run-rate, the EPS print itself is likely a low-drama beat-or-meet; the share reaction should hinge far more on the</w:t>
      </w:r>
      <w:r>
        <w:t xml:space="preserve"> </w:t>
      </w:r>
      <w:r>
        <w:rPr>
          <w:b/>
          <w:bCs/>
        </w:rPr>
        <w:t xml:space="preserve">commercial (data-center) and regulatory (PJM) catalysts</w:t>
      </w:r>
      <w:r>
        <w:t xml:space="preserve"> </w:t>
      </w:r>
      <w:r>
        <w:t xml:space="preserve">than on the quarter's cents.</w:t>
      </w:r>
    </w:p>
    <w:p>
      <w:pPr>
        <w:pStyle w:val="BodyText"/>
      </w:pPr>
      <w:r>
        <w:rPr>
          <w:i/>
          <w:iCs/>
        </w:rPr>
        <w:t xml:space="preserve">Note: I could not retrieve a fully consolidated third-party consensus for Q2; figures above (~</w:t>
      </w:r>
      <m:oMath>
        <m:r>
          <m:t>2.24</m:t>
        </m:r>
        <m:r>
          <m:rPr>
            <m:sty m:val="p"/>
          </m:rPr>
          <m:t>–</m:t>
        </m:r>
      </m:oMath>
      <w:r>
        <w:rPr>
          <w:i/>
          <w:iCs/>
        </w:rPr>
        <w:t xml:space="preserve">2.35 EPS, ~</w:t>
      </w:r>
      <m:oMath>
        <m:r>
          <m:t>11.74</m:t>
        </m:r>
        <m:r>
          <m:t>F</m:t>
        </m:r>
        <m:r>
          <m:t>Y</m:t>
        </m:r>
        <m:r>
          <m:rPr>
            <m:sty m:val="p"/>
          </m:rPr>
          <m:t>,</m:t>
        </m:r>
        <m:r>
          <m:t> </m:t>
        </m:r>
      </m:oMath>
      <w:r>
        <w:rPr>
          <w:i/>
          <w:iCs/>
        </w:rPr>
        <w:t xml:space="preserve">360 avg. target) are drawn from recent public estimate aggregators and should be validated against your own consensus feed before the print.</w:t>
      </w:r>
    </w:p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2026-08-06T00:34:54Z</dcterms:created>
  <dcterms:modified xsi:type="dcterms:W3CDTF">2026-08-06T00:34:54Z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