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eg-earnings-predictions--2026-08-06"/>
    <w:p>
      <w:pPr>
        <w:pStyle w:val="Heading1"/>
      </w:pPr>
      <w:r>
        <w:t xml:space="preserve">CEG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~2.55 vs. cons 2.45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~8.6B vs. cons 8.35B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Nuclear Fleet Capacity Factor (ex-Salem/STP)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~94.5% vs. cons/prior-year proxy 94.1%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~11.50 vs. cons 11.55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2026-2027 Free Cash Flow Before Growth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~8.4B vs. cons 8.2B (2026-2027 cumulative)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Base Earnings Growth Framework Through 2029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 CAGR vs. cons ~18% CAGR (2025-2029)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+3.2% (FOLLOW-THROUGH)</w:t>
            </w:r>
          </w:p>
        </w:tc>
        <w:tc>
          <w:tcPr/>
          <w:p>
            <w:pPr>
              <w:pStyle w:val="Compact"/>
            </w:pPr>
            <w:r>
              <w:t xml:space="preserve">An EPS/revenue beat plus reaffirmed $11-12 FY26 guidance, combined with the already-disclosed PJM capacity auction clearing at $325/MW-day and Crane's FERC waiver, gives the print concrete forward catalysts rather than just an in-line number to fade. Some of this is pre-priced from the July 14 auction disclosure and Aug 5 governance news, capping day-1 pop, but with the stock still ~28% off highs and short interest/skepticism elevated (7 of 9 recent revisions down per Seeking Alpha), a clean beat-and-hold quarter should trigger short covering and incremental analyst upgrades over the following days rather than a snap-back fade, unless management's tone on the PJM FERC filing timeline or H2 nuclear outage cadence implies back-half deceleration that forces analysts to trim Q3/Q4 estimates even as full-year guidance holds.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2026-08-06T00:38:15Z</dcterms:created>
  <dcterms:modified xsi:type="dcterms:W3CDTF">2026-08-06T00:38:15Z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