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772fa31ff3f27fd703d2538a9f7ea99791ed166"/>
    <w:p>
      <w:pPr>
        <w:pStyle w:val="Heading1"/>
      </w:pPr>
      <w:r>
        <w:t xml:space="preserve">Constellation Energy (CEG) — Q2 2026 Earnings Preview</w:t>
      </w:r>
    </w:p>
    <w:p>
      <w:pPr>
        <w:pStyle w:val="FirstParagraph"/>
      </w:pPr>
      <w:r>
        <w:rPr>
          <w:b/>
          <w:bCs/>
        </w:rPr>
        <w:t xml:space="preserve">Report date:</w:t>
      </w:r>
      <w:r>
        <w:t xml:space="preserve"> </w:t>
      </w:r>
      <w:r>
        <w:t xml:space="preserve">Thursday, August 6, 2026, before market open; conference call at 10:00 a.m. ET</w:t>
      </w:r>
      <w:r>
        <w:t xml:space="preserve"> </w:t>
      </w:r>
      <w:r>
        <w:rPr>
          <w:b/>
          <w:bCs/>
        </w:rPr>
        <w:t xml:space="preserve">Fiscal period:</w:t>
      </w:r>
      <w:r>
        <w:t xml:space="preserve"> </w:t>
      </w:r>
      <w:r>
        <w:t xml:space="preserve">Q2 2026 (second quarter as a combined Constellation + Calpine entity)</w:t>
      </w:r>
    </w:p>
    <w:p>
      <w:r>
        <w:pict>
          <v:rect style="width:0;height:1.5pt" o:hralign="center" o:hrstd="t" o:hr="t"/>
        </w:pict>
      </w:r>
    </w:p>
    <w:bookmarkStart w:id="9" w:name="Xb7084180adc307672aa4c22ec3a0fbfc58fc571"/>
    <w:p>
      <w:pPr>
        <w:pStyle w:val="Heading2"/>
      </w:pPr>
      <w:r>
        <w:t xml:space="preserve">1. 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Current price (8/5/26 close)</w:t>
            </w:r>
          </w:p>
        </w:tc>
        <w:tc>
          <w:tcPr/>
          <w:p>
            <w:pPr>
              <w:pStyle w:val="Compact"/>
            </w:pPr>
            <w:r>
              <w:t xml:space="preserve">~$265</w:t>
            </w:r>
          </w:p>
        </w:tc>
      </w:tr>
      <w:tr>
        <w:tc>
          <w:tcPr/>
          <w:p>
            <w:pPr>
              <w:pStyle w:val="Compact"/>
            </w:pPr>
            <w:r>
              <w:t xml:space="preserve">52-week range</w:t>
            </w:r>
          </w:p>
        </w:tc>
        <w:tc>
          <w:tcPr/>
          <w:p>
            <w:pPr>
              <w:pStyle w:val="Compact"/>
            </w:pPr>
            <w:r>
              <w:t xml:space="preserve">~$229 – $412</w:t>
            </w:r>
          </w:p>
        </w:tc>
      </w:tr>
      <w:tr>
        <w:tc>
          <w:tcPr/>
          <w:p>
            <w:pPr>
              <w:pStyle w:val="Compact"/>
            </w:pPr>
            <w:r>
              <w:t xml:space="preserve">YTD performance</w:t>
            </w:r>
          </w:p>
        </w:tc>
        <w:tc>
          <w:tcPr/>
          <w:p>
            <w:pPr>
              <w:pStyle w:val="Compact"/>
            </w:pPr>
            <w:r>
              <w:t xml:space="preserve">Down roughly 28%</w:t>
            </w:r>
          </w:p>
        </w:tc>
      </w:tr>
      <w:tr>
        <w:tc>
          <w:tcPr/>
          <w:p>
            <w:pPr>
              <w:pStyle w:val="Compact"/>
            </w:pPr>
            <w:r>
              <w:t xml:space="preserve">Consensus Q2 adjusted EPS</w:t>
            </w:r>
          </w:p>
        </w:tc>
        <w:tc>
          <w:tcPr/>
          <w:p>
            <w:pPr>
              <w:pStyle w:val="Compact"/>
            </w:pPr>
            <w:r>
              <w:t xml:space="preserve">~</w:t>
            </w:r>
            <m:oMath>
              <m:r>
                <m:t>2.35</m:t>
              </m:r>
              <m:r>
                <m:rPr>
                  <m:sty m:val="p"/>
                </m:rPr>
                <m:t>–</m:t>
              </m:r>
            </m:oMath>
            <w:r>
              <w:t xml:space="preserve">2.57 (estimates vary by source; Zacks $2.35, TipRanks $2.40, Seeking Alpha $2.41, TIKR $2.57)</w:t>
            </w:r>
          </w:p>
        </w:tc>
      </w:tr>
      <w:tr>
        <w:tc>
          <w:tcPr/>
          <w:p>
            <w:pPr>
              <w:pStyle w:val="Compact"/>
            </w:pPr>
            <w:r>
              <w:t xml:space="preserve">Consensus Q2 revenue</w:t>
            </w:r>
          </w:p>
        </w:tc>
        <w:tc>
          <w:tcPr/>
          <w:p>
            <w:pPr>
              <w:pStyle w:val="Compact"/>
            </w:pPr>
            <w:r>
              <w:t xml:space="preserve">~</w:t>
            </w:r>
            <m:oMath>
              <m:r>
                <m:t>8.0</m:t>
              </m:r>
              <m:r>
                <m:rPr>
                  <m:sty m:val="p"/>
                </m:rPr>
                <m:t>–</m:t>
              </m:r>
            </m:oMath>
            <w:r>
              <w:t xml:space="preserve">8.7 billion</w:t>
            </w:r>
          </w:p>
        </w:tc>
      </w:tr>
      <w:tr>
        <w:tc>
          <w:tcPr/>
          <w:p>
            <w:pPr>
              <w:pStyle w:val="Compact"/>
            </w:pPr>
            <w:r>
              <w:t xml:space="preserve">FY2026 guidance (affirmed at Q1)</w:t>
            </w:r>
          </w:p>
        </w:tc>
        <w:tc>
          <w:tcPr/>
          <w:p>
            <w:pPr>
              <w:pStyle w:val="Compact"/>
            </w:pPr>
            <m:oMath>
              <m:r>
                <m:t>11.00</m:t>
              </m:r>
              <m:r>
                <m:rPr>
                  <m:sty m:val="p"/>
                </m:rPr>
                <m:t>–</m:t>
              </m:r>
            </m:oMath>
            <w:r>
              <w:t xml:space="preserve">12.00 adjusted operating EPS</w:t>
            </w:r>
          </w:p>
        </w:tc>
      </w:tr>
      <w:tr>
        <w:tc>
          <w:tcPr/>
          <w:p>
            <w:pPr>
              <w:pStyle w:val="Compact"/>
            </w:pPr>
            <w:r>
              <w:t xml:space="preserve">Q1 2026 result</w:t>
            </w:r>
          </w:p>
        </w:tc>
        <w:tc>
          <w:tcPr/>
          <w:p>
            <w:pPr>
              <w:pStyle w:val="Compact"/>
            </w:pPr>
            <w:r>
              <w:t xml:space="preserve">$2.74 adjusted EPS (beat $2.57 consensus by ~7%); GAAP EPS $4.49</w:t>
            </w:r>
          </w:p>
        </w:tc>
      </w:tr>
    </w:tbl>
    <w:p>
      <w:pPr>
        <w:pStyle w:val="BodyText"/>
      </w:pPr>
      <w:r>
        <w:t xml:space="preserve">CEG has been one of the more volatile "AI power" trades of 2026. The stock ran to highs near the low-$400s early in the year on nuclear/data-center enthusiasm, then fell roughly 30% from its highs into a 52-week low around</w:t>
      </w:r>
      <w:r>
        <w:t xml:space="preserve"> </w:t>
      </w:r>
      <m:oMath>
        <m:r>
          <m:t>229</m:t>
        </m:r>
        <m:r>
          <m:rPr>
            <m:sty m:val="p"/>
          </m:rPr>
          <m:t>–</m:t>
        </m:r>
      </m:oMath>
      <w:r>
        <w:t xml:space="preserve">240 in late June/early July as PJM regulatory uncertainty, softer ERCOT forward power prices, and broader jitters about hyperscaler capex durability weighed on the group. Shares have stabilized somewhat in the past month, trading in the mid-$260s to $270s heading into the print.</w:t>
      </w:r>
    </w:p>
    <w:bookmarkEnd w:id="9"/>
    <w:bookmarkStart w:id="10" w:name="X85a3132002f009d63767252638a0382692b9472"/>
    <w:p>
      <w:pPr>
        <w:pStyle w:val="Heading2"/>
      </w:pPr>
      <w:r>
        <w:t xml:space="preserve">2. What happened last quarter — the base case</w:t>
      </w:r>
    </w:p>
    <w:p>
      <w:pPr>
        <w:pStyle w:val="FirstParagraph"/>
      </w:pPr>
      <w:r>
        <w:t xml:space="preserve">Constellation's Q1 2026 print was the first full quarter reflecting the Calpine acquisition (closed January 2026), and it set the tone investors will be checking for continuity on:</w:t>
      </w:r>
    </w:p>
    <w:p>
      <w:pPr>
        <w:pStyle w:val="Compact"/>
        <w:numPr>
          <w:ilvl w:val="0"/>
          <w:numId w:val="1001"/>
        </w:numPr>
      </w:pPr>
      <w:r>
        <w:t xml:space="preserve">GAAP Net Income for the first quarter of 2026 increased to $4.49 per share from $0.38 per share in the first quarter of 2025. Adjusted (non-GAAP) Operating Earnings for the first quarter of 2026 increased to $2.74 per share from $2.14 per share in the first quarter of 2025.</w:t>
      </w:r>
    </w:p>
    <w:p>
      <w:pPr>
        <w:pStyle w:val="Compact"/>
        <w:numPr>
          <w:ilvl w:val="0"/>
          <w:numId w:val="1001"/>
        </w:numPr>
      </w:pPr>
      <w:r>
        <w:t xml:space="preserve">Management explained the beat as "$0.60 per share better than the first quarter of last year and consistent with our expectations. Higher earnings for the quarter can mostly be attributed to the EPS accretion from Calpine."</w:t>
      </w:r>
    </w:p>
    <w:p>
      <w:pPr>
        <w:pStyle w:val="Compact"/>
        <w:numPr>
          <w:ilvl w:val="0"/>
          <w:numId w:val="1001"/>
        </w:numPr>
      </w:pPr>
      <w:r>
        <w:t xml:space="preserve">The company affirmed its full year adjusted operating earnings guidance range of $11 to $12 per share, and CFO Shane Smith reiterated that stance is intact "based on our performance year-to-date and our outlook for the remainder of the year."</w:t>
      </w:r>
    </w:p>
    <w:p>
      <w:pPr>
        <w:pStyle w:val="Compact"/>
        <w:numPr>
          <w:ilvl w:val="0"/>
          <w:numId w:val="1001"/>
        </w:numPr>
      </w:pPr>
      <w:r>
        <w:t xml:space="preserve">Nuclear operations remained strong but were dented by outage timing: excluding Salem and STP, our nuclear plants at ownership achieved a 92.3% capacity factor for the first quarter of 2026, compared with 94.1% for the first quarter of 2025, reflecting more planned refueling days than a year ago.</w:t>
      </w:r>
    </w:p>
    <w:p>
      <w:pPr>
        <w:pStyle w:val="Compact"/>
        <w:numPr>
          <w:ilvl w:val="0"/>
          <w:numId w:val="1001"/>
        </w:numPr>
      </w:pPr>
      <w:r>
        <w:t xml:space="preserve">Capital return was active: management repurchased approximately 1.2 million shares at an average price of roughly $285 per share for a total of $335 million of purchases under a $5 billion authorization tied partly to the upcoming Calpine share lock-up expirations.</w:t>
      </w:r>
    </w:p>
    <w:bookmarkEnd w:id="10"/>
    <w:bookmarkStart w:id="11" w:name="X30fe00e5a2ab73a43f864b5e3cfeadaf2921736"/>
    <w:p>
      <w:pPr>
        <w:pStyle w:val="Heading2"/>
      </w:pPr>
      <w:r>
        <w:t xml:space="preserve">3. What's changed since the Q1 call — the real story for this print</w:t>
      </w:r>
    </w:p>
    <w:p>
      <w:pPr>
        <w:pStyle w:val="FirstParagraph"/>
      </w:pPr>
      <w:r>
        <w:t xml:space="preserve">A lot has happened in the roughly 90 days between the Q1 and Q2 reports, and most of it is directly relevant to how investors should read Q2 results and Q3/FY guidance commentary:</w:t>
      </w:r>
    </w:p>
    <w:p>
      <w:pPr>
        <w:pStyle w:val="BodyText"/>
      </w:pPr>
      <w:r>
        <w:rPr>
          <w:b/>
          <w:bCs/>
        </w:rPr>
        <w:t xml:space="preserve">PJM capacity auction cleared at a strong price.</w:t>
      </w:r>
      <w:r>
        <w:t xml:space="preserve"> </w:t>
      </w:r>
      <w:r>
        <w:t xml:space="preserve">On July 14, CEG disclosed that Constellation Energy Corporation learned the results of the PJM capacity auction for the 2028-2029 planning year. Each of the Company's power plants located in the PJM market cleared in the auction. The company cleared roughly 18,875 MW at $325/MW-day across its PJM portfolio (effective June 2028), reinforcing the multi-year visibility of nuclear capacity revenue that flows through the Production Tax Credit gross-receipts calculation — a key pillar of the "20%+ base earnings growth through 2029" framework management laid out.</w:t>
      </w:r>
    </w:p>
    <w:p>
      <w:pPr>
        <w:pStyle w:val="BodyText"/>
      </w:pPr>
      <w:r>
        <w:rPr>
          <w:b/>
          <w:bCs/>
        </w:rPr>
        <w:t xml:space="preserve">PJM market-design/large-load reform is progressing, but the timeline slipped from the original plan.</w:t>
      </w:r>
      <w:r>
        <w:t xml:space="preserve"> </w:t>
      </w:r>
      <w:r>
        <w:t xml:space="preserve">At Q1, management said PJM has established a proposed time line for providing clarity on when it expects to vote on the final framework with the goal of submitting the proposal to FERC in June. Public reporting since then indicates PJM's Board didn't finalize its decisional letter on the Reliability Backstop Procurement / "Interim Resource Adequacy Service" framework until late July, with an initial ~6,800 MW need, a roughly $555/MW-day price cap, 15-year contract terms and a 50 MW co-location threshold — details now headed to FERC. Expect analysts to press management on the filing timeline, how bilateral hyperscaler contracting is proceeding in the interim, and whether the "pause" some customers took (as flagged on the Q1 call) is starting to resolve.</w:t>
      </w:r>
    </w:p>
    <w:p>
      <w:pPr>
        <w:pStyle w:val="BodyText"/>
      </w:pPr>
      <w:r>
        <w:rPr>
          <w:b/>
          <w:bCs/>
        </w:rPr>
        <w:t xml:space="preserve">Crane (formerly Three Mile Island) restart cleared a key hurdle.</w:t>
      </w:r>
      <w:r>
        <w:t xml:space="preserve"> </w:t>
      </w:r>
      <w:r>
        <w:t xml:space="preserve">Management told investors in Q1 that in terms of getting the full capacity credit, right now, the ball is actually in FERC's court. We have filed... to transfer the CIRs from Eddystone to Crane, which we think will facilitate a '27 capacity credit. FERC subsequently granted a waiver on the interconnection queue issue in early June, removing a major transmission-related obstacle and keeping the ~835 MW restart (backed by the 20-year Microsoft PPA) on its targeted timeline. Watch for an updated restart/in-service timeline and confirmation of the 2027 capacity-credit path.</w:t>
      </w:r>
    </w:p>
    <w:p>
      <w:pPr>
        <w:pStyle w:val="BodyText"/>
      </w:pPr>
      <w:r>
        <w:rPr>
          <w:b/>
          <w:bCs/>
        </w:rPr>
        <w:t xml:space="preserve">A live reminder of scarcity value.</w:t>
      </w:r>
      <w:r>
        <w:t xml:space="preserve"> </w:t>
      </w:r>
      <w:r>
        <w:t xml:space="preserve">In early July, PJM issued emergency alerts amid a heat wave, and spot power prices in Northern Virginia — the heart of the U.S. data-center corridor — spiked into the thousands of dollars per MWh, a stark illustration of the tightening reserve margins that underpin CEG's long-term bull case. That event falls mostly in Q3, but expect it to feature prominently in management's forward commentary on energy-market value capture and the case for PJM's energy/reserve market reform (a topic CEO Joe Dominguez emphasized on the Q1 call).</w:t>
      </w:r>
    </w:p>
    <w:p>
      <w:pPr>
        <w:pStyle w:val="BodyText"/>
      </w:pPr>
      <w:r>
        <w:rPr>
          <w:b/>
          <w:bCs/>
        </w:rPr>
        <w:t xml:space="preserve">Share supply/lock-up dynamics.</w:t>
      </w:r>
      <w:r>
        <w:t xml:space="preserve"> </w:t>
      </w:r>
      <w:r>
        <w:t xml:space="preserve">As flagged at Q1, 25 million of the 50 million shares issued to Calpine's former owners had a lock-up expiring June 30, 2026. Ahead of that date, a secondary offering of shares held by legacy Calpine holders was completed, an overhang that likely contributed to technical pressure on the stock into early summer. The remaining 25 million shares lock up until June 2027 — a topic worth monitoring in the buyback discussion.</w:t>
      </w:r>
    </w:p>
    <w:p>
      <w:pPr>
        <w:pStyle w:val="BodyText"/>
      </w:pPr>
      <w:r>
        <w:rPr>
          <w:b/>
          <w:bCs/>
        </w:rPr>
        <w:t xml:space="preserve">Governance refresh, one day before earnings.</w:t>
      </w:r>
      <w:r>
        <w:t xml:space="preserve"> </w:t>
      </w:r>
      <w:r>
        <w:t xml:space="preserve">On August 5, the company announced the Board of Directors elected President and CEO Joe Dominguez to serve as Chairman of the Board, effective Aug. 4, 2026, and appointed Roger Crandall, Chairman, President and Chief Executive Officer of MassMutual, to the Board as an independent director, effective Aug. 5, 2026, with Charles Harrington named lead independent director following Robert Lawless's board departure. Not an earnings catalyst per se, but it signals board stability and continuity of the capital-allocation-and-governance-focused message management has been pushing all year.</w:t>
      </w:r>
    </w:p>
    <w:bookmarkEnd w:id="11"/>
    <w:bookmarkStart w:id="12" w:name="X53845276022318b8e2eee21952460ecbba60080"/>
    <w:p>
      <w:pPr>
        <w:pStyle w:val="Heading2"/>
      </w:pPr>
      <w:r>
        <w:t xml:space="preserve">4. What to watch in the print and on the call</w:t>
      </w:r>
    </w:p>
    <w:p>
      <w:pPr>
        <w:pStyle w:val="Compact"/>
        <w:numPr>
          <w:ilvl w:val="0"/>
          <w:numId w:val="1002"/>
        </w:numPr>
      </w:pPr>
      <w:r>
        <w:rPr>
          <w:b/>
          <w:bCs/>
        </w:rPr>
        <w:t xml:space="preserve">Guidance cadence</w:t>
      </w:r>
      <w:r>
        <w:t xml:space="preserve"> </w:t>
      </w:r>
      <w:r>
        <w:t xml:space="preserve">— Will management reaffirm</w:t>
      </w:r>
      <w:r>
        <w:t xml:space="preserve"> </w:t>
      </w:r>
      <m:oMath>
        <m:r>
          <m:t>11</m:t>
        </m:r>
        <m:r>
          <m:rPr>
            <m:sty m:val="p"/>
          </m:rPr>
          <m:t>–</m:t>
        </m:r>
      </m:oMath>
      <w:r>
        <w:t xml:space="preserve">12 for FY2026, and does commentary shift confidence toward the upper half of the range? On the Q1 call, when pressed on this, Dominguez said the team would need "at least another quarter" of visibility before leaning into the top of the band — Q2 is that quarter.</w:t>
      </w:r>
    </w:p>
    <w:p>
      <w:pPr>
        <w:pStyle w:val="Compact"/>
        <w:numPr>
          <w:ilvl w:val="0"/>
          <w:numId w:val="1002"/>
        </w:numPr>
      </w:pPr>
      <w:r>
        <w:rPr>
          <w:b/>
          <w:bCs/>
        </w:rPr>
        <w:t xml:space="preserve">Calpine integration/accretion</w:t>
      </w:r>
      <w:r>
        <w:t xml:space="preserve"> </w:t>
      </w:r>
      <w:r>
        <w:t xml:space="preserve">— Q1 benefited from roughly $2/share of full-year Calpine accretion guidance; watch for confirmation the combined natural gas/cogen fleet (EFOF, dispatch economics) is tracking to plan, and any updated synergy commentary.</w:t>
      </w:r>
    </w:p>
    <w:p>
      <w:pPr>
        <w:pStyle w:val="Compact"/>
        <w:numPr>
          <w:ilvl w:val="0"/>
          <w:numId w:val="1002"/>
        </w:numPr>
      </w:pPr>
      <w:r>
        <w:rPr>
          <w:b/>
          <w:bCs/>
        </w:rPr>
        <w:t xml:space="preserve">Nuclear operating metrics</w:t>
      </w:r>
      <w:r>
        <w:t xml:space="preserve"> </w:t>
      </w:r>
      <w:r>
        <w:t xml:space="preserve">— Capacity factor trend versus Q1's 92.3% (which was depressed by outage timing) and any incremental disclosure on Crane's restart timeline.</w:t>
      </w:r>
    </w:p>
    <w:p>
      <w:pPr>
        <w:pStyle w:val="Compact"/>
        <w:numPr>
          <w:ilvl w:val="0"/>
          <w:numId w:val="1002"/>
        </w:numPr>
      </w:pPr>
      <w:r>
        <w:rPr>
          <w:b/>
          <w:bCs/>
        </w:rPr>
        <w:t xml:space="preserve">PJM/ERCOT commercial progress</w:t>
      </w:r>
      <w:r>
        <w:t xml:space="preserve"> </w:t>
      </w:r>
      <w:r>
        <w:t xml:space="preserve">— Any new bilateral data-center power agreements (nuclear PPAs, "Powered Land" gas-adjacent deals like the CyrusOne/Freestone structure), and management's read on how the PJM backstop filing at FERC is unlocking (or still delaying) hyperscaler negotiations.</w:t>
      </w:r>
    </w:p>
    <w:p>
      <w:pPr>
        <w:pStyle w:val="Compact"/>
        <w:numPr>
          <w:ilvl w:val="0"/>
          <w:numId w:val="1002"/>
        </w:numPr>
      </w:pPr>
      <w:r>
        <w:rPr>
          <w:b/>
          <w:bCs/>
        </w:rPr>
        <w:t xml:space="preserve">Capital allocation</w:t>
      </w:r>
      <w:r>
        <w:t xml:space="preserve"> </w:t>
      </w:r>
      <w:r>
        <w:t xml:space="preserve">— Pace of buybacks relative to the $5 billion authorization (only $335 million/1.2 million shares repurchased through Q1, at an average price above where the stock has traded for much of Q2/Q3), dividend growth cadence (targeted at 10%/year), and any comments tied to the June 30 Calpine lock-up expiration.</w:t>
      </w:r>
    </w:p>
    <w:p>
      <w:pPr>
        <w:pStyle w:val="Compact"/>
        <w:numPr>
          <w:ilvl w:val="0"/>
          <w:numId w:val="1002"/>
        </w:numPr>
      </w:pPr>
      <w:r>
        <w:rPr>
          <w:b/>
          <w:bCs/>
        </w:rPr>
        <w:t xml:space="preserve">Free cash flow trajectory</w:t>
      </w:r>
      <w:r>
        <w:t xml:space="preserve"> </w:t>
      </w:r>
      <w:r>
        <w:t xml:space="preserve">— Management's updated framework calls for $8.4 billion of free cash flow before growth across 2026–2027, stepping up to</w:t>
      </w:r>
      <w:r>
        <w:t xml:space="preserve"> </w:t>
      </w:r>
      <m:oMath>
        <m:r>
          <m:t>11.5</m:t>
        </m:r>
        <m:r>
          <m:rPr>
            <m:sty m:val="p"/>
          </m:rPr>
          <m:t>–</m:t>
        </m:r>
      </m:oMath>
      <w:r>
        <w:t xml:space="preserve">13 billion in 2028–2029; watch for any refinement of these figures or the "upside levers" (uprates, higher gas-fleet utilization, additional offtake deals) quantified in the outlook deck.</w:t>
      </w:r>
    </w:p>
    <w:p>
      <w:pPr>
        <w:pStyle w:val="Compact"/>
        <w:numPr>
          <w:ilvl w:val="0"/>
          <w:numId w:val="1002"/>
        </w:numPr>
      </w:pPr>
      <w:r>
        <w:rPr>
          <w:b/>
          <w:bCs/>
        </w:rPr>
        <w:t xml:space="preserve">ERCOT/PJM price outlook</w:t>
      </w:r>
      <w:r>
        <w:t xml:space="preserve"> </w:t>
      </w:r>
      <w:r>
        <w:t xml:space="preserve">— Management called ERCOT forward pricing "undervalued" for 2028+ on the Q1 call while acknowledging near-term softness; watch for updated tone given the July PJM emergency-pricing event and the just-completed 2028/2029 PJM capacity auction clearing at $325/MW-day across essentially the whole fleet.</w:t>
      </w:r>
    </w:p>
    <w:bookmarkEnd w:id="12"/>
    <w:bookmarkStart w:id="13" w:name="Xef472a33f8eea3fee07e20161ee52eabc2f992e"/>
    <w:p>
      <w:pPr>
        <w:pStyle w:val="Heading2"/>
      </w:pPr>
      <w:r>
        <w:t xml:space="preserve">5. Risks/swing factors</w:t>
      </w:r>
    </w:p>
    <w:p>
      <w:pPr>
        <w:pStyle w:val="Compact"/>
        <w:numPr>
          <w:ilvl w:val="0"/>
          <w:numId w:val="1003"/>
        </w:numPr>
      </w:pPr>
      <w:r>
        <w:rPr>
          <w:b/>
          <w:bCs/>
        </w:rPr>
        <w:t xml:space="preserve">Regulatory timing risk</w:t>
      </w:r>
      <w:r>
        <w:t xml:space="preserve">: PJM's backstop/co-location filing still needs FERC action; slippage could keep some hyperscaler contracts in "pause" mode longer than hoped.</w:t>
      </w:r>
    </w:p>
    <w:p>
      <w:pPr>
        <w:pStyle w:val="Compact"/>
        <w:numPr>
          <w:ilvl w:val="0"/>
          <w:numId w:val="1003"/>
        </w:numPr>
      </w:pPr>
      <w:r>
        <w:rPr>
          <w:b/>
          <w:bCs/>
        </w:rPr>
        <w:t xml:space="preserve">Estimate dispersion</w:t>
      </w:r>
      <w:r>
        <w:t xml:space="preserve">: Sell-side Q2 EPS estimates span a fairly wide</w:t>
      </w:r>
      <w:r>
        <w:t xml:space="preserve"> </w:t>
      </w:r>
      <m:oMath>
        <m:r>
          <m:t>2.35</m:t>
        </m:r>
        <m:r>
          <m:rPr>
            <m:sty m:val="p"/>
          </m:rPr>
          <m:t>–</m:t>
        </m:r>
      </m:oMath>
      <w:r>
        <w:t xml:space="preserve">2.57 range, and per Seeking Alpha data, recent 90-day revisions have skewed down (2 up vs. 7 down), suggesting some caution has crept into models even as consensus still calls for double-digit EPS growth.</w:t>
      </w:r>
    </w:p>
    <w:p>
      <w:pPr>
        <w:pStyle w:val="Compact"/>
        <w:numPr>
          <w:ilvl w:val="0"/>
          <w:numId w:val="1003"/>
        </w:numPr>
      </w:pPr>
      <w:r>
        <w:rPr>
          <w:b/>
          <w:bCs/>
        </w:rPr>
        <w:t xml:space="preserve">Nuclear outage/weather variability</w:t>
      </w:r>
      <w:r>
        <w:t xml:space="preserve">: Refueling cadence and severe-weather-driven ancillary costs (as seen with Winter Storm Fern in Q1) can swing quarterly results even when the annual guidance range holds.</w:t>
      </w:r>
    </w:p>
    <w:p>
      <w:pPr>
        <w:pStyle w:val="Compact"/>
        <w:numPr>
          <w:ilvl w:val="0"/>
          <w:numId w:val="1003"/>
        </w:numPr>
      </w:pPr>
      <w:r>
        <w:rPr>
          <w:b/>
          <w:bCs/>
        </w:rPr>
        <w:t xml:space="preserve">Valuation/sentiment</w:t>
      </w:r>
      <w:r>
        <w:t xml:space="preserve">: Despite the pullback, CEG still trades at a premium multiple tied to AI power-demand optimism; any signs of hyperscaler capex deceleration or further delay in PJM clarity could pressure the multiple further, even on an in-line quarter.</w:t>
      </w:r>
    </w:p>
    <w:p>
      <w:pPr>
        <w:pStyle w:val="Compact"/>
        <w:numPr>
          <w:ilvl w:val="0"/>
          <w:numId w:val="1003"/>
        </w:numPr>
      </w:pPr>
      <w:r>
        <w:rPr>
          <w:b/>
          <w:bCs/>
        </w:rPr>
        <w:t xml:space="preserve">Share supply overhang</w:t>
      </w:r>
      <w:r>
        <w:t xml:space="preserve">: The second Calpine lock-up tranche (25 million shares, expiring June 2027) remains on the calendar as a technical factor for the stock.</w:t>
      </w:r>
    </w:p>
    <w:bookmarkEnd w:id="13"/>
    <w:bookmarkStart w:id="14" w:name="bottom-line"/>
    <w:p>
      <w:pPr>
        <w:pStyle w:val="Heading2"/>
      </w:pPr>
      <w:r>
        <w:t xml:space="preserve">Bottom line</w:t>
      </w:r>
    </w:p>
    <w:p>
      <w:pPr>
        <w:pStyle w:val="FirstParagraph"/>
      </w:pPr>
      <w:r>
        <w:t xml:space="preserve">Going into Thursday's print, the fundamental growth story at Constellation looks largely intact — the PJM capacity auction cleared strong, Crane's restart cleared a major regulatory hurdle, and nuclear/gas assets are showing real scarcity value amid summer grid stress. The bigger swing factor is less about the quarter's numbers (guidance has already been affirmed once this year and consensus sees continued double-digit EPS growth) and more about</w:t>
      </w:r>
      <w:r>
        <w:t xml:space="preserve"> </w:t>
      </w:r>
      <w:r>
        <w:rPr>
          <w:b/>
          <w:bCs/>
        </w:rPr>
        <w:t xml:space="preserve">management's tone on regulatory clarity in PJM, the pace of new hyperscaler contracting, and capital deployment</w:t>
      </w:r>
      <w:r>
        <w:t xml:space="preserve"> </w:t>
      </w:r>
      <w:r>
        <w:t xml:space="preserve">— the variables that will determine whether the stock's roughly 30% drawdown from its 2026 highs reflects a durable re-rating of AI-power-demand stocks or a buying opportunity in a still-growing, contracted, PTC-backed earnings stream.</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2026-08-06T00:38:15Z</dcterms:created>
  <dcterms:modified xsi:type="dcterms:W3CDTF">2026-08-06T00:38:15Z</dcterms:modified>
</cp:coreProperties>
</file>

<file path=docProps/custom.xml><?xml version="1.0" encoding="utf-8"?>
<Properties xmlns="http://schemas.openxmlformats.org/officeDocument/2006/custom-properties" xmlns:vt="http://schemas.openxmlformats.org/officeDocument/2006/docPropsVTypes"/>
</file>