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e2f69835a5509fe145f270deac569c56957c704"/>
    <w:p>
      <w:pPr>
        <w:pStyle w:val="Heading1"/>
      </w:pPr>
      <w:r>
        <w:t xml:space="preserve">Constellation Energy (CEG) Q2 2026 Earnings Preview</w:t>
      </w:r>
    </w:p>
    <w:p>
      <w:pPr>
        <w:pStyle w:val="BlockText"/>
      </w:pPr>
      <w:r>
        <w:rPr>
          <w:b/>
          <w:bCs/>
        </w:rPr>
        <w:t xml:space="preserve">Timing clarification:</w:t>
      </w:r>
      <w:r>
        <w:t xml:space="preserve"> </w:t>
      </w:r>
      <w:r>
        <w:t xml:space="preserve">Constellation’s Q2 2026 earnings call is scheduled for</w:t>
      </w:r>
      <w:r>
        <w:t xml:space="preserve"> </w:t>
      </w:r>
      <w:r>
        <w:rPr>
          <w:b/>
          <w:bCs/>
        </w:rPr>
        <w:t xml:space="preserve">today, Thursday, August 6, 2026, at 10:00 a.m. ET</w:t>
      </w:r>
      <w:r>
        <w:t xml:space="preserve">—not tomorrow. This preview assumes the results have not yet been released. (</w:t>
      </w:r>
      <w:hyperlink r:id="rId9">
        <w:r>
          <w:rPr>
            <w:rStyle w:val="Hyperlink"/>
          </w:rPr>
          <w:t xml:space="preserve">investors.constellationenergy.com</w:t>
        </w:r>
      </w:hyperlink>
      <w:r>
        <w:t xml:space="preserve">)</w:t>
      </w:r>
    </w:p>
    <w:bookmarkStart w:id="11"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Adjusted EPS</w:t>
            </w:r>
          </w:p>
        </w:tc>
        <w:tc>
          <w:tcPr/>
          <w:p>
            <w:pPr>
              <w:pStyle w:val="Compact"/>
              <w:jc w:val="right"/>
            </w:pPr>
            <w:r>
              <w:rPr>
                <w:b/>
                <w:bCs/>
              </w:rPr>
              <w:t xml:space="preserve">$2.34</w:t>
            </w:r>
          </w:p>
        </w:tc>
        <w:tc>
          <w:tcPr/>
          <w:p>
            <w:pPr>
              <w:pStyle w:val="Compact"/>
              <w:jc w:val="right"/>
            </w:pPr>
            <w:r>
              <w:t xml:space="preserve">$1.91</w:t>
            </w:r>
          </w:p>
        </w:tc>
        <w:tc>
          <w:tcPr/>
          <w:p>
            <w:pPr>
              <w:pStyle w:val="Compact"/>
              <w:jc w:val="right"/>
            </w:pPr>
            <w:r>
              <w:t xml:space="preserve">~23%</w:t>
            </w:r>
          </w:p>
        </w:tc>
      </w:tr>
      <w:tr>
        <w:tc>
          <w:tcPr/>
          <w:p>
            <w:pPr>
              <w:pStyle w:val="Compact"/>
            </w:pPr>
            <w:r>
              <w:t xml:space="preserve">Revenue</w:t>
            </w:r>
          </w:p>
        </w:tc>
        <w:tc>
          <w:tcPr/>
          <w:p>
            <w:pPr>
              <w:pStyle w:val="Compact"/>
              <w:jc w:val="right"/>
            </w:pPr>
            <w:r>
              <w:rPr>
                <w:b/>
                <w:bCs/>
              </w:rPr>
              <w:t xml:space="preserve">$7.49 billion</w:t>
            </w:r>
          </w:p>
        </w:tc>
        <w:tc>
          <w:tcPr/>
          <w:p>
            <w:pPr>
              <w:pStyle w:val="Compact"/>
              <w:jc w:val="right"/>
            </w:pPr>
            <w:r>
              <w:t xml:space="preserve">$6.10 billion</w:t>
            </w:r>
          </w:p>
        </w:tc>
        <w:tc>
          <w:tcPr/>
          <w:p>
            <w:pPr>
              <w:pStyle w:val="Compact"/>
              <w:jc w:val="right"/>
            </w:pPr>
            <w:r>
              <w:t xml:space="preserve">~23%</w:t>
            </w:r>
          </w:p>
        </w:tc>
      </w:tr>
      <w:tr>
        <w:tc>
          <w:tcPr/>
          <w:p>
            <w:pPr>
              <w:pStyle w:val="Compact"/>
            </w:pPr>
            <w:r>
              <w:t xml:space="preserve">FY2026 adjusted EPS</w:t>
            </w:r>
          </w:p>
        </w:tc>
        <w:tc>
          <w:tcPr/>
          <w:p>
            <w:pPr>
              <w:pStyle w:val="Compact"/>
              <w:jc w:val="right"/>
            </w:pPr>
            <w:r>
              <w:rPr>
                <w:b/>
                <w:bCs/>
              </w:rPr>
              <w:t xml:space="preserve">$11.74</w:t>
            </w:r>
          </w:p>
        </w:tc>
        <w:tc>
          <w:tcPr/>
          <w:p>
            <w:pPr>
              <w:pStyle w:val="Compact"/>
              <w:jc w:val="right"/>
            </w:pPr>
            <w:r>
              <w:t xml:space="preserve">Company guidance:</w:t>
            </w:r>
            <w:r>
              <w:t xml:space="preserve"> </w:t>
            </w:r>
            <m:oMath>
              <m:r>
                <m:t>11.00</m:t>
              </m:r>
              <m:r>
                <m:rPr>
                  <m:sty m:val="p"/>
                </m:rPr>
                <m:t>–</m:t>
              </m:r>
            </m:oMath>
            <w:r>
              <w:t xml:space="preserve">12.00</w:t>
            </w:r>
          </w:p>
        </w:tc>
        <w:tc>
          <w:tcPr/>
          <w:p>
            <w:pPr>
              <w:pStyle w:val="Compact"/>
              <w:jc w:val="right"/>
            </w:pPr>
            <w:r>
              <w:t xml:space="preserve">—</w:t>
            </w:r>
          </w:p>
        </w:tc>
      </w:tr>
    </w:tbl>
    <w:p>
      <w:pPr>
        <w:pStyle w:val="BodyText"/>
      </w:pPr>
      <w:r>
        <w:t xml:space="preserve">The published quarterly consensus is based on only three estimates, with EPS ranging from $2.29 to $2.39 and revenue estimates unusually dispersed. Revenue is therefore a relatively weak signal for CEG: commodity pass-throughs, hedging presentation, and the addition of Calpine can make the top line volatile and difficult to compare. Adjusted earnings, gross-margin drivers, operations, cash flow and guidance matter more. (</w:t>
      </w:r>
      <w:hyperlink r:id="rId10">
        <w:r>
          <w:rPr>
            <w:rStyle w:val="Hyperlink"/>
          </w:rPr>
          <w:t xml:space="preserve">stage.zacks.com</w:t>
        </w:r>
      </w:hyperlink>
      <w:r>
        <w:t xml:space="preserve">)</w:t>
      </w:r>
    </w:p>
    <w:p>
      <w:pPr>
        <w:pStyle w:val="BodyText"/>
      </w:pPr>
      <w:r>
        <w:t xml:space="preserve">CEG closed August 5 at</w:t>
      </w:r>
      <w:r>
        <w:t xml:space="preserve"> </w:t>
      </w:r>
      <w:r>
        <w:rPr>
          <w:b/>
          <w:bCs/>
        </w:rPr>
        <w:t xml:space="preserve">$265.16</w:t>
      </w:r>
      <w:r>
        <w:t xml:space="preserve">, down approximately 11.5% from the day of its Q1 report. At the current 2026 EPS consensus, the shares trade at roughly</w:t>
      </w:r>
      <w:r>
        <w:t xml:space="preserve"> </w:t>
      </w:r>
      <w:r>
        <w:rPr>
          <w:b/>
          <w:bCs/>
        </w:rPr>
        <w:t xml:space="preserve">22.6 times earnings</w:t>
      </w:r>
      <w:r>
        <w:t xml:space="preserve">. That valuation still assumes a credible multiyear growth story, but the pullback has lowered the hurdle somewhat.</w:t>
      </w:r>
    </w:p>
    <w:p>
      <w:r>
        <w:pict>
          <v:rect style="width:0;height:1.5pt" o:hralign="center" o:hrstd="t" o:hr="t"/>
        </w:pict>
      </w:r>
    </w:p>
    <w:bookmarkEnd w:id="11"/>
    <w:bookmarkStart w:id="13" w:name="X342912dd5b053cf899fab66138a2b7060acee8d"/>
    <w:p>
      <w:pPr>
        <w:pStyle w:val="Heading2"/>
      </w:pPr>
      <w:r>
        <w:t xml:space="preserve">The central question: Is CEG tracking toward the upper half of guidance?</w:t>
      </w:r>
    </w:p>
    <w:p>
      <w:pPr>
        <w:pStyle w:val="FirstParagraph"/>
      </w:pPr>
      <w:r>
        <w:t xml:space="preserve">Constellation earned</w:t>
      </w:r>
      <w:r>
        <w:t xml:space="preserve"> </w:t>
      </w:r>
      <m:oMath>
        <m:r>
          <m:t>2.74</m:t>
        </m:r>
        <m:r>
          <m:t>o</m:t>
        </m:r>
        <m:r>
          <m:t>f</m:t>
        </m:r>
        <m:r>
          <m:t>a</m:t>
        </m:r>
        <m:r>
          <m:t>d</m:t>
        </m:r>
        <m:r>
          <m:t>j</m:t>
        </m:r>
        <m:r>
          <m:t>u</m:t>
        </m:r>
        <m:r>
          <m:t>s</m:t>
        </m:r>
        <m:r>
          <m:t>t</m:t>
        </m:r>
        <m:r>
          <m:t>e</m:t>
        </m:r>
        <m:r>
          <m:t>d</m:t>
        </m:r>
        <m:r>
          <m:t>E</m:t>
        </m:r>
        <m:r>
          <m:t>P</m:t>
        </m:r>
        <m:r>
          <m:t>S</m:t>
        </m:r>
        <m:r>
          <m:t>i</m:t>
        </m:r>
        <m:r>
          <m:t>n</m:t>
        </m:r>
        <m:r>
          <m:t>Q</m:t>
        </m:r>
        <m:r>
          <m:t>1</m:t>
        </m:r>
        <m:r>
          <m:rPr>
            <m:sty m:val="p"/>
          </m:rPr>
          <m:t>*</m:t>
        </m:r>
        <m:r>
          <m:rPr>
            <m:sty m:val="p"/>
          </m:rPr>
          <m:t>*</m:t>
        </m:r>
        <m:r>
          <m:t>a</m:t>
        </m:r>
        <m:r>
          <m:t>n</m:t>
        </m:r>
        <m:r>
          <m:t>d</m:t>
        </m:r>
        <m:r>
          <m:t>m</m:t>
        </m:r>
        <m:r>
          <m:t>a</m:t>
        </m:r>
        <m:r>
          <m:t>i</m:t>
        </m:r>
        <m:r>
          <m:t>n</m:t>
        </m:r>
        <m:r>
          <m:t>t</m:t>
        </m:r>
        <m:r>
          <m:t>a</m:t>
        </m:r>
        <m:r>
          <m:t>i</m:t>
        </m:r>
        <m:r>
          <m:t>n</m:t>
        </m:r>
        <m:r>
          <m:t>e</m:t>
        </m:r>
        <m:r>
          <m:t>d</m:t>
        </m:r>
        <m:r>
          <m:t>f</m:t>
        </m:r>
        <m:r>
          <m:t>u</m:t>
        </m:r>
        <m:r>
          <m:t>l</m:t>
        </m:r>
        <m:r>
          <m:t>l</m:t>
        </m:r>
        <m:r>
          <m:rPr>
            <m:sty m:val="p"/>
          </m:rPr>
          <m:t>−</m:t>
        </m:r>
        <m:r>
          <m:t>y</m:t>
        </m:r>
        <m:r>
          <m:t>e</m:t>
        </m:r>
        <m:r>
          <m:t>a</m:t>
        </m:r>
        <m:r>
          <m:t>r</m:t>
        </m:r>
        <m:r>
          <m:t>g</m:t>
        </m:r>
        <m:r>
          <m:t>u</m:t>
        </m:r>
        <m:r>
          <m:t>i</m:t>
        </m:r>
        <m:r>
          <m:t>d</m:t>
        </m:r>
        <m:r>
          <m:t>a</m:t>
        </m:r>
        <m:r>
          <m:t>n</m:t>
        </m:r>
        <m:r>
          <m:t>c</m:t>
        </m:r>
        <m:r>
          <m:t>e</m:t>
        </m:r>
        <m:r>
          <m:t>o</m:t>
        </m:r>
        <m:r>
          <m:t>f</m:t>
        </m:r>
        <m:r>
          <m:rPr>
            <m:sty m:val="p"/>
          </m:rPr>
          <m:t>*</m:t>
        </m:r>
        <m:r>
          <m:rPr>
            <m:sty m:val="p"/>
          </m:rPr>
          <m:t>*</m:t>
        </m:r>
      </m:oMath>
      <w:r>
        <w:rPr>
          <w:b/>
          <w:bCs/>
        </w:rPr>
        <w:t xml:space="preserve">11.00–$12.00</w:t>
      </w:r>
      <w:r>
        <w:t xml:space="preserve">. Management said the quarter met its internal expectations and indicated that it wanted to see at least one more quarter before expressing greater confidence in the upper half of the range. (</w:t>
      </w:r>
      <w:hyperlink r:id="rId12">
        <w:r>
          <w:rPr>
            <w:rStyle w:val="Hyperlink"/>
          </w:rPr>
          <w:t xml:space="preserve">investors.constellationenergy.com</w:t>
        </w:r>
      </w:hyperlink>
      <w:r>
        <w:t xml:space="preserve">)</w:t>
      </w:r>
    </w:p>
    <w:p>
      <w:pPr>
        <w:pStyle w:val="BodyText"/>
      </w:pPr>
      <w:r>
        <w:t xml:space="preserve">At the $2.34 Q2 consensus:</w:t>
      </w:r>
    </w:p>
    <w:p>
      <w:pPr>
        <w:pStyle w:val="Compact"/>
        <w:numPr>
          <w:ilvl w:val="0"/>
          <w:numId w:val="1001"/>
        </w:numPr>
      </w:pPr>
      <w:r>
        <w:t xml:space="preserve">First-half adjusted EPS would be approximately</w:t>
      </w:r>
      <w:r>
        <w:t xml:space="preserve"> </w:t>
      </w:r>
      <w:r>
        <w:rPr>
          <w:b/>
          <w:bCs/>
        </w:rPr>
        <w:t xml:space="preserve">$5.08</w:t>
      </w:r>
      <w:r>
        <w:t xml:space="preserve">.</w:t>
      </w:r>
    </w:p>
    <w:p>
      <w:pPr>
        <w:pStyle w:val="Compact"/>
        <w:numPr>
          <w:ilvl w:val="0"/>
          <w:numId w:val="1001"/>
        </w:numPr>
      </w:pPr>
      <w:r>
        <w:t xml:space="preserve">CEG would need</w:t>
      </w:r>
      <w:r>
        <w:t xml:space="preserve"> </w:t>
      </w:r>
      <m:oMath>
        <m:r>
          <m:t>5.92</m:t>
        </m:r>
        <m:r>
          <m:rPr>
            <m:sty m:val="p"/>
          </m:rPr>
          <m:t>–</m:t>
        </m:r>
      </m:oMath>
      <w:r>
        <w:rPr>
          <w:b/>
          <w:bCs/>
        </w:rPr>
        <w:t xml:space="preserve">6.92</w:t>
      </w:r>
      <w:r>
        <w:t xml:space="preserve"> </w:t>
      </w:r>
      <w:r>
        <w:t xml:space="preserve">in the second half to achieve its guidance.</w:t>
      </w:r>
    </w:p>
    <w:p>
      <w:pPr>
        <w:pStyle w:val="Compact"/>
        <w:numPr>
          <w:ilvl w:val="0"/>
          <w:numId w:val="1001"/>
        </w:numPr>
      </w:pPr>
      <w:r>
        <w:t xml:space="preserve">It would need</w:t>
      </w:r>
      <w:r>
        <w:t xml:space="preserve"> </w:t>
      </w:r>
      <w:r>
        <w:rPr>
          <w:b/>
          <w:bCs/>
        </w:rPr>
        <w:t xml:space="preserve">$6.66</w:t>
      </w:r>
      <w:r>
        <w:t xml:space="preserve"> </w:t>
      </w:r>
      <w:r>
        <w:t xml:space="preserve">in the second half to meet the current $11.74 full-year consensus.</w:t>
      </w:r>
    </w:p>
    <w:p>
      <w:pPr>
        <w:pStyle w:val="FirstParagraph"/>
      </w:pPr>
      <w:r>
        <w:t xml:space="preserve">That makes management’s guidance language more consequential than a small quarterly beat or miss:</w:t>
      </w:r>
    </w:p>
    <w:p>
      <w:pPr>
        <w:pStyle w:val="Compact"/>
        <w:numPr>
          <w:ilvl w:val="0"/>
          <w:numId w:val="1002"/>
        </w:numPr>
      </w:pPr>
      <w:r>
        <w:rPr>
          <w:b/>
          <w:bCs/>
        </w:rPr>
        <w:t xml:space="preserve">Bullish:</w:t>
      </w:r>
      <w:r>
        <w:t xml:space="preserve"> </w:t>
      </w:r>
      <w:r>
        <w:t xml:space="preserve">Guidance maintained with explicit confidence in the upper half, or raised above $12.</w:t>
      </w:r>
    </w:p>
    <w:p>
      <w:pPr>
        <w:pStyle w:val="Compact"/>
        <w:numPr>
          <w:ilvl w:val="0"/>
          <w:numId w:val="1002"/>
        </w:numPr>
      </w:pPr>
      <w:r>
        <w:rPr>
          <w:b/>
          <w:bCs/>
        </w:rPr>
        <w:t xml:space="preserve">Neutral:</w:t>
      </w:r>
      <w:r>
        <w:t xml:space="preserve"> </w:t>
      </w:r>
      <m:oMath>
        <m:r>
          <m:t>11</m:t>
        </m:r>
        <m:r>
          <m:rPr>
            <m:sty m:val="p"/>
          </m:rPr>
          <m:t>–</m:t>
        </m:r>
      </m:oMath>
      <w:r>
        <w:t xml:space="preserve">12 reiterated without narrowing, accompanied by solid execution.</w:t>
      </w:r>
    </w:p>
    <w:p>
      <w:pPr>
        <w:pStyle w:val="Compact"/>
        <w:numPr>
          <w:ilvl w:val="0"/>
          <w:numId w:val="1002"/>
        </w:numPr>
      </w:pPr>
      <w:r>
        <w:rPr>
          <w:b/>
          <w:bCs/>
        </w:rPr>
        <w:t xml:space="preserve">Disappointing:</w:t>
      </w:r>
      <w:r>
        <w:t xml:space="preserve"> </w:t>
      </w:r>
      <w:r>
        <w:t xml:space="preserve">Commentary points toward the lower half despite strong capacity-market and Calpine contributions.</w:t>
      </w:r>
    </w:p>
    <w:p>
      <w:r>
        <w:pict>
          <v:rect style="width:0;height:1.5pt" o:hralign="center" o:hrstd="t" o:hr="t"/>
        </w:pict>
      </w:r>
    </w:p>
    <w:bookmarkEnd w:id="13"/>
    <w:bookmarkStart w:id="25" w:name="what-investors-should-watch"/>
    <w:p>
      <w:pPr>
        <w:pStyle w:val="Heading2"/>
      </w:pPr>
      <w:r>
        <w:t xml:space="preserve">What investors should watch</w:t>
      </w:r>
    </w:p>
    <w:bookmarkStart w:id="15" w:name="X2d4aa337fa2d99565341554bc2201c34d72e233"/>
    <w:p>
      <w:pPr>
        <w:pStyle w:val="Heading3"/>
      </w:pPr>
      <w:r>
        <w:t xml:space="preserve">1. Calpine: earnings contribution, integration and divestitures</w:t>
      </w:r>
    </w:p>
    <w:p>
      <w:pPr>
        <w:pStyle w:val="FirstParagraph"/>
      </w:pPr>
      <w:r>
        <w:t xml:space="preserve">Q2 is the first clean comparison in which Calpine contributes for the entire quarter. The acquisition was the principal driver of Q1 adjusted EPS growth, and management’s original 2026 outlook included roughly</w:t>
      </w:r>
      <w:r>
        <w:t xml:space="preserve"> </w:t>
      </w:r>
      <w:r>
        <w:rPr>
          <w:b/>
          <w:bCs/>
        </w:rPr>
        <w:t xml:space="preserve">$2 per share of Calpine accretion</w:t>
      </w:r>
      <w:r>
        <w:t xml:space="preserve">.</w:t>
      </w:r>
    </w:p>
    <w:p>
      <w:pPr>
        <w:pStyle w:val="BodyText"/>
      </w:pPr>
      <w:r>
        <w:t xml:space="preserve">The most useful disclosures will be:</w:t>
      </w:r>
    </w:p>
    <w:p>
      <w:pPr>
        <w:pStyle w:val="Compact"/>
        <w:numPr>
          <w:ilvl w:val="0"/>
          <w:numId w:val="1003"/>
        </w:numPr>
      </w:pPr>
      <w:r>
        <w:t xml:space="preserve">Calpine’s adjusted gross-margin and earnings contribution.</w:t>
      </w:r>
    </w:p>
    <w:p>
      <w:pPr>
        <w:pStyle w:val="Compact"/>
        <w:numPr>
          <w:ilvl w:val="0"/>
          <w:numId w:val="1003"/>
        </w:numPr>
      </w:pPr>
      <w:r>
        <w:t xml:space="preserve">Gas-fleet utilization and forced-outage performance.</w:t>
      </w:r>
    </w:p>
    <w:p>
      <w:pPr>
        <w:pStyle w:val="Compact"/>
        <w:numPr>
          <w:ilvl w:val="0"/>
          <w:numId w:val="1003"/>
        </w:numPr>
      </w:pPr>
      <w:r>
        <w:t xml:space="preserve">Retail power and natural-gas margins.</w:t>
      </w:r>
    </w:p>
    <w:p>
      <w:pPr>
        <w:pStyle w:val="Compact"/>
        <w:numPr>
          <w:ilvl w:val="0"/>
          <w:numId w:val="1003"/>
        </w:numPr>
      </w:pPr>
      <w:r>
        <w:t xml:space="preserve">Integration costs and realized cost or commercial synergies.</w:t>
      </w:r>
    </w:p>
    <w:p>
      <w:pPr>
        <w:pStyle w:val="Compact"/>
        <w:numPr>
          <w:ilvl w:val="0"/>
          <w:numId w:val="1003"/>
        </w:numPr>
      </w:pPr>
      <w:r>
        <w:t xml:space="preserve">Any changes to the expected long-term earnings and free-cash-flow accretion.</w:t>
      </w:r>
    </w:p>
    <w:p>
      <w:pPr>
        <w:pStyle w:val="FirstParagraph"/>
      </w:pPr>
      <w:r>
        <w:t xml:space="preserve">Constellation has agreed to sell approximately</w:t>
      </w:r>
      <w:r>
        <w:t xml:space="preserve"> </w:t>
      </w:r>
      <w:r>
        <w:rPr>
          <w:b/>
          <w:bCs/>
        </w:rPr>
        <w:t xml:space="preserve">4.4 GW of PJM generation assets to LS Power for $5 billion</w:t>
      </w:r>
      <w:r>
        <w:t xml:space="preserve">, subject to approvals, and still needs to complete an additional ERCOT divestiture. Management previously assumed that the PJM assets would contribute during the first part of 2026 before being sold. Investors should listen for an updated closing date, net proceeds, debt reduction and whether any of those proceeds will support repurchases. (</w:t>
      </w:r>
      <w:hyperlink r:id="rId14">
        <w:r>
          <w:rPr>
            <w:rStyle w:val="Hyperlink"/>
          </w:rPr>
          <w:t xml:space="preserve">investors.constellationenergy.com</w:t>
        </w:r>
      </w:hyperlink>
      <w:r>
        <w:t xml:space="preserve">)</w:t>
      </w:r>
    </w:p>
    <w:p>
      <w:pPr>
        <w:pStyle w:val="BodyText"/>
      </w:pPr>
      <w:r>
        <w:rPr>
          <w:b/>
          <w:bCs/>
        </w:rPr>
        <w:t xml:space="preserve">Potential issue:</w:t>
      </w:r>
      <w:r>
        <w:t xml:space="preserve"> </w:t>
      </w:r>
      <w:r>
        <w:t xml:space="preserve">A clean headline EPS result could mask weakness if it depends on assets about to be sold or unusually favorable trading and portfolio activity. The quality and durability of Calpine’s contribution matter more than the absolute quarterly number.</w:t>
      </w:r>
    </w:p>
    <w:p>
      <w:r>
        <w:pict>
          <v:rect style="width:0;height:1.5pt" o:hralign="center" o:hrstd="t" o:hr="t"/>
        </w:pict>
      </w:r>
    </w:p>
    <w:bookmarkEnd w:id="15"/>
    <w:bookmarkStart w:id="17" w:name="X5ff00aed365e8bc24b10d5accc5ce6d1f6b4bf3"/>
    <w:p>
      <w:pPr>
        <w:pStyle w:val="Heading3"/>
      </w:pPr>
      <w:r>
        <w:t xml:space="preserve">2. Generation performance</w:t>
      </w:r>
    </w:p>
    <w:p>
      <w:pPr>
        <w:pStyle w:val="FirstParagraph"/>
      </w:pPr>
      <w:r>
        <w:t xml:space="preserve">Constellation’s investment case depends on operating scarce nuclear and natural-gas assets reliably. In Q1, its operated nuclear fleet posted a</w:t>
      </w:r>
      <w:r>
        <w:t xml:space="preserve"> </w:t>
      </w:r>
      <w:r>
        <w:rPr>
          <w:b/>
          <w:bCs/>
        </w:rPr>
        <w:t xml:space="preserve">92.3% capacity factor</w:t>
      </w:r>
      <w:r>
        <w:t xml:space="preserve">, while the broader gas, oil and pumped-storage fleet had a</w:t>
      </w:r>
      <w:r>
        <w:t xml:space="preserve"> </w:t>
      </w:r>
      <w:r>
        <w:rPr>
          <w:b/>
          <w:bCs/>
        </w:rPr>
        <w:t xml:space="preserve">4.5% equivalent forced-outage factor</w:t>
      </w:r>
      <w:r>
        <w:t xml:space="preserve">. Q1 nuclear performance was affected by 99 planned refueling-outage days. (</w:t>
      </w:r>
      <w:hyperlink r:id="rId16">
        <w:r>
          <w:rPr>
            <w:rStyle w:val="Hyperlink"/>
          </w:rPr>
          <w:t xml:space="preserve">investors.constellationenergy.com</w:t>
        </w:r>
      </w:hyperlink>
      <w:r>
        <w:t xml:space="preserve">)</w:t>
      </w:r>
    </w:p>
    <w:p>
      <w:pPr>
        <w:pStyle w:val="BodyText"/>
      </w:pPr>
      <w:r>
        <w:t xml:space="preserve">Key Q2 operating metrics include:</w:t>
      </w:r>
    </w:p>
    <w:p>
      <w:pPr>
        <w:pStyle w:val="Compact"/>
        <w:numPr>
          <w:ilvl w:val="0"/>
          <w:numId w:val="1004"/>
        </w:numPr>
      </w:pPr>
      <w:r>
        <w:t xml:space="preserve">Nuclear capacity factor and generation.</w:t>
      </w:r>
    </w:p>
    <w:p>
      <w:pPr>
        <w:pStyle w:val="Compact"/>
        <w:numPr>
          <w:ilvl w:val="0"/>
          <w:numId w:val="1004"/>
        </w:numPr>
      </w:pPr>
      <w:r>
        <w:t xml:space="preserve">Planned and unplanned outage days.</w:t>
      </w:r>
    </w:p>
    <w:p>
      <w:pPr>
        <w:pStyle w:val="Compact"/>
        <w:numPr>
          <w:ilvl w:val="0"/>
          <w:numId w:val="1004"/>
        </w:numPr>
      </w:pPr>
      <w:r>
        <w:t xml:space="preserve">Natural-gas fleet forced-outage factor.</w:t>
      </w:r>
    </w:p>
    <w:p>
      <w:pPr>
        <w:pStyle w:val="Compact"/>
        <w:numPr>
          <w:ilvl w:val="0"/>
          <w:numId w:val="1004"/>
        </w:numPr>
      </w:pPr>
      <w:r>
        <w:t xml:space="preserve">Gas-plant dispatch and realized spark spreads.</w:t>
      </w:r>
    </w:p>
    <w:p>
      <w:pPr>
        <w:pStyle w:val="Compact"/>
        <w:numPr>
          <w:ilvl w:val="0"/>
          <w:numId w:val="1004"/>
        </w:numPr>
      </w:pPr>
      <w:r>
        <w:t xml:space="preserve">Commercial performance during periods of power-market volatility.</w:t>
      </w:r>
    </w:p>
    <w:p>
      <w:pPr>
        <w:pStyle w:val="FirstParagraph"/>
      </w:pPr>
      <w:r>
        <w:t xml:space="preserve">A nuclear capacity factor around the mid-90% range with limited unplanned outages would be reassuring. Conversely, weak nuclear output or a deterioration in gas-fleet availability could pressure both the quarter and management’s confidence in full-year guidance.</w:t>
      </w:r>
    </w:p>
    <w:p>
      <w:pPr>
        <w:pStyle w:val="BodyText"/>
      </w:pPr>
      <w:r>
        <w:t xml:space="preserve">Also watch early contributions from:</w:t>
      </w:r>
    </w:p>
    <w:p>
      <w:pPr>
        <w:pStyle w:val="Compact"/>
        <w:numPr>
          <w:ilvl w:val="0"/>
          <w:numId w:val="1005"/>
        </w:numPr>
      </w:pPr>
      <w:r>
        <w:rPr>
          <w:b/>
          <w:bCs/>
        </w:rPr>
        <w:t xml:space="preserve">Pin Oak Creek</w:t>
      </w:r>
      <w:r>
        <w:t xml:space="preserve">, the 460 MW ERCOT peaker that began commercial operation April 30.</w:t>
      </w:r>
    </w:p>
    <w:p>
      <w:pPr>
        <w:pStyle w:val="Compact"/>
        <w:numPr>
          <w:ilvl w:val="0"/>
          <w:numId w:val="1005"/>
        </w:numPr>
      </w:pPr>
      <w:r>
        <w:rPr>
          <w:b/>
          <w:bCs/>
        </w:rPr>
        <w:t xml:space="preserve">Pastoria Solar</w:t>
      </w:r>
      <w:r>
        <w:t xml:space="preserve">, commissioned in April.</w:t>
      </w:r>
    </w:p>
    <w:p>
      <w:pPr>
        <w:pStyle w:val="Compact"/>
        <w:numPr>
          <w:ilvl w:val="0"/>
          <w:numId w:val="1005"/>
        </w:numPr>
      </w:pPr>
      <w:r>
        <w:t xml:space="preserve">The associated Pastoria battery project, which had been expected online during the spring or summer.</w:t>
      </w:r>
    </w:p>
    <w:p>
      <w:pPr>
        <w:pStyle w:val="Compact"/>
        <w:numPr>
          <w:ilvl w:val="0"/>
          <w:numId w:val="1005"/>
        </w:numPr>
      </w:pPr>
      <w:r>
        <w:t xml:space="preserve">The Freestone/CyrusOne infrastructure project, whose substation was expected to be energized in Q4. (</w:t>
      </w:r>
      <w:hyperlink r:id="rId12">
        <w:r>
          <w:rPr>
            <w:rStyle w:val="Hyperlink"/>
          </w:rPr>
          <w:t xml:space="preserve">investors.constellationenergy.com</w:t>
        </w:r>
      </w:hyperlink>
      <w:r>
        <w:t xml:space="preserve">)</w:t>
      </w:r>
    </w:p>
    <w:p>
      <w:r>
        <w:pict>
          <v:rect style="width:0;height:1.5pt" o:hralign="center" o:hrstd="t" o:hr="t"/>
        </w:pict>
      </w:r>
    </w:p>
    <w:bookmarkEnd w:id="17"/>
    <w:bookmarkStart w:id="19" w:name="X548e7ec103c4ae88c7b29da2e099f716a9b94de"/>
    <w:p>
      <w:pPr>
        <w:pStyle w:val="Heading3"/>
      </w:pPr>
      <w:r>
        <w:t xml:space="preserve">3. PJM capacity is supportive—but the PTC interaction matters</w:t>
      </w:r>
    </w:p>
    <w:p>
      <w:pPr>
        <w:pStyle w:val="FirstParagraph"/>
      </w:pPr>
      <w:r>
        <w:t xml:space="preserve">CEG disclosed that all its eligible PJM plants cleared the 2028/2029 capacity auction, totaling</w:t>
      </w:r>
      <w:r>
        <w:t xml:space="preserve"> </w:t>
      </w:r>
      <w:r>
        <w:rPr>
          <w:b/>
          <w:bCs/>
        </w:rPr>
        <w:t xml:space="preserve">18,875 MW</w:t>
      </w:r>
      <w:r>
        <w:t xml:space="preserve">, at the</w:t>
      </w:r>
      <w:r>
        <w:t xml:space="preserve"> </w:t>
      </w:r>
      <w:r>
        <w:rPr>
          <w:b/>
          <w:bCs/>
        </w:rPr>
        <w:t xml:space="preserve">$325/MW-day price cap</w:t>
      </w:r>
      <w:r>
        <w:t xml:space="preserve">. Those revenues begin June 1, 2028, so they are not a Q2 earnings driver, but they reinforce the longer-term value of the fleet.</w:t>
      </w:r>
    </w:p>
    <w:p>
      <w:pPr>
        <w:pStyle w:val="BodyText"/>
      </w:pPr>
      <w:r>
        <w:t xml:space="preserve">Investors should avoid treating the capacity result as fully incremental to nuclear earnings. Capacity revenue from nuclear units is included in the gross-receipts calculation for the nuclear production tax credit, potentially reducing PTC value. Fossil capacity revenue has a more direct earnings impact. Constellation’s own modeling explicitly warns against adding nuclear capacity revenue separately to base earnings. (</w:t>
      </w:r>
      <w:hyperlink r:id="rId18">
        <w:r>
          <w:rPr>
            <w:rStyle w:val="Hyperlink"/>
          </w:rPr>
          <w:t xml:space="preserve">investors.constellationenergy.com</w:t>
        </w:r>
      </w:hyperlink>
      <w:r>
        <w:t xml:space="preserve">)</w:t>
      </w:r>
    </w:p>
    <w:p>
      <w:pPr>
        <w:pStyle w:val="BodyText"/>
      </w:pPr>
      <w:r>
        <w:t xml:space="preserve">For the current quarter, the broader benefit is that Q2 2026 contains a much richer PJM capacity-price environment than the prior-year quarter. The exact earnings effect will depend on:</w:t>
      </w:r>
    </w:p>
    <w:p>
      <w:pPr>
        <w:pStyle w:val="Compact"/>
        <w:numPr>
          <w:ilvl w:val="0"/>
          <w:numId w:val="1006"/>
        </w:numPr>
      </w:pPr>
      <w:r>
        <w:t xml:space="preserve">Nuclear PTC offsets.</w:t>
      </w:r>
    </w:p>
    <w:p>
      <w:pPr>
        <w:pStyle w:val="Compact"/>
        <w:numPr>
          <w:ilvl w:val="0"/>
          <w:numId w:val="1006"/>
        </w:numPr>
      </w:pPr>
      <w:r>
        <w:t xml:space="preserve">Illinois CMC interactions.</w:t>
      </w:r>
    </w:p>
    <w:p>
      <w:pPr>
        <w:pStyle w:val="Compact"/>
        <w:numPr>
          <w:ilvl w:val="0"/>
          <w:numId w:val="1006"/>
        </w:numPr>
      </w:pPr>
      <w:r>
        <w:t xml:space="preserve">Capacity costs embedded in CEG’s retail load.</w:t>
      </w:r>
    </w:p>
    <w:p>
      <w:pPr>
        <w:pStyle w:val="Compact"/>
        <w:numPr>
          <w:ilvl w:val="0"/>
          <w:numId w:val="1006"/>
        </w:numPr>
      </w:pPr>
      <w:r>
        <w:t xml:space="preserve">The contribution of gas assets scheduled for divestiture.</w:t>
      </w:r>
    </w:p>
    <w:p>
      <w:r>
        <w:pict>
          <v:rect style="width:0;height:1.5pt" o:hralign="center" o:hrstd="t" o:hr="t"/>
        </w:pict>
      </w:r>
    </w:p>
    <w:bookmarkEnd w:id="19"/>
    <w:bookmarkStart w:id="21" w:name="Xf45796c2732736a067a87769f5ce105bb19fc66"/>
    <w:p>
      <w:pPr>
        <w:pStyle w:val="Heading3"/>
      </w:pPr>
      <w:r>
        <w:t xml:space="preserve">4. Data-center contracts and PJM regulatory progress</w:t>
      </w:r>
    </w:p>
    <w:p>
      <w:pPr>
        <w:pStyle w:val="FirstParagraph"/>
      </w:pPr>
      <w:r>
        <w:t xml:space="preserve">This may be the most important issue for the stock beyond 2026 guidance.</w:t>
      </w:r>
    </w:p>
    <w:p>
      <w:pPr>
        <w:pStyle w:val="BodyText"/>
      </w:pPr>
      <w:r>
        <w:t xml:space="preserve">CEG has positioned approximately</w:t>
      </w:r>
      <w:r>
        <w:t xml:space="preserve"> </w:t>
      </w:r>
      <w:r>
        <w:rPr>
          <w:b/>
          <w:bCs/>
        </w:rPr>
        <w:t xml:space="preserve">5 GW of nuclear uprates, gas generation and storage projects</w:t>
      </w:r>
      <w:r>
        <w:t xml:space="preserve"> </w:t>
      </w:r>
      <w:r>
        <w:t xml:space="preserve">for potential PJM opportunities. It has also highlighted roughly 147 million MWh of annual nuclear production that could eventually be contracted at premiums to the PTC floor. But management said in Q1 that some customers were waiting for more regulatory clarity before signing deals.</w:t>
      </w:r>
    </w:p>
    <w:p>
      <w:pPr>
        <w:pStyle w:val="BodyText"/>
      </w:pPr>
      <w:r>
        <w:t xml:space="preserve">PJM has since advanced a reliability-backstop framework combining bilateral contracting with a central procurement. The proposed central process targets the 2028/2029 shortfall, contemplates long-term capacity commitments and is intended to allocate costs more directly to the load growth driving the need. FERC has also approved an expedited, temporary interconnection track for a limited number of large, shovel-ready capacity projects. (</w:t>
      </w:r>
      <w:hyperlink r:id="rId20">
        <w:r>
          <w:rPr>
            <w:rStyle w:val="Hyperlink"/>
          </w:rPr>
          <w:t xml:space="preserve">pjm.com</w:t>
        </w:r>
      </w:hyperlink>
      <w:r>
        <w:t xml:space="preserve">)</w:t>
      </w:r>
    </w:p>
    <w:p>
      <w:pPr>
        <w:pStyle w:val="BodyText"/>
      </w:pPr>
      <w:r>
        <w:t xml:space="preserve">Investors should listen for:</w:t>
      </w:r>
    </w:p>
    <w:p>
      <w:pPr>
        <w:pStyle w:val="Compact"/>
        <w:numPr>
          <w:ilvl w:val="0"/>
          <w:numId w:val="1007"/>
        </w:numPr>
      </w:pPr>
      <w:r>
        <w:t xml:space="preserve">Whether paused customer negotiations have resumed.</w:t>
      </w:r>
    </w:p>
    <w:p>
      <w:pPr>
        <w:pStyle w:val="Compact"/>
        <w:numPr>
          <w:ilvl w:val="0"/>
          <w:numId w:val="1007"/>
        </w:numPr>
      </w:pPr>
      <w:r>
        <w:t xml:space="preserve">Progress at Calvert Cliffs, Limerick or other nuclear sites.</w:t>
      </w:r>
    </w:p>
    <w:p>
      <w:pPr>
        <w:pStyle w:val="Compact"/>
        <w:numPr>
          <w:ilvl w:val="0"/>
          <w:numId w:val="1007"/>
        </w:numPr>
      </w:pPr>
      <w:r>
        <w:t xml:space="preserve">Additional Powered Land opportunities adjacent to Calpine gas plants.</w:t>
      </w:r>
    </w:p>
    <w:p>
      <w:pPr>
        <w:pStyle w:val="Compact"/>
        <w:numPr>
          <w:ilvl w:val="0"/>
          <w:numId w:val="1007"/>
        </w:numPr>
      </w:pPr>
      <w:r>
        <w:t xml:space="preserve">Whether CEG’s 5 GW PJM project pipeline is eligible for the new processes.</w:t>
      </w:r>
    </w:p>
    <w:p>
      <w:pPr>
        <w:pStyle w:val="Compact"/>
        <w:numPr>
          <w:ilvl w:val="0"/>
          <w:numId w:val="1007"/>
        </w:numPr>
      </w:pPr>
      <w:r>
        <w:t xml:space="preserve">The likely timing of the next major nuclear or gas offtake agreement.</w:t>
      </w:r>
    </w:p>
    <w:p>
      <w:pPr>
        <w:pStyle w:val="FirstParagraph"/>
      </w:pPr>
      <w:r>
        <w:t xml:space="preserve">A new contract is not required for a good quarter, but</w:t>
      </w:r>
      <w:r>
        <w:t xml:space="preserve"> </w:t>
      </w:r>
      <w:r>
        <w:rPr>
          <w:b/>
          <w:bCs/>
        </w:rPr>
        <w:t xml:space="preserve">concrete evidence of commercial progress</w:t>
      </w:r>
      <w:r>
        <w:t xml:space="preserve"> </w:t>
      </w:r>
      <w:r>
        <w:t xml:space="preserve">would probably matter more to the valuation than a modest EPS beat. Vague statements that customer interest remains strong—but with no movement in negotiations—would be less compelling after several quarters of regulatory discussion.</w:t>
      </w:r>
    </w:p>
    <w:p>
      <w:r>
        <w:pict>
          <v:rect style="width:0;height:1.5pt" o:hralign="center" o:hrstd="t" o:hr="t"/>
        </w:pict>
      </w:r>
    </w:p>
    <w:bookmarkEnd w:id="21"/>
    <w:bookmarkStart w:id="23" w:name="Xe7c26dc1d8eedb53551c1169d128894fb88e119"/>
    <w:p>
      <w:pPr>
        <w:pStyle w:val="Heading3"/>
      </w:pPr>
      <w:r>
        <w:t xml:space="preserve">5. Crane restart</w:t>
      </w:r>
    </w:p>
    <w:p>
      <w:pPr>
        <w:pStyle w:val="FirstParagraph"/>
      </w:pPr>
      <w:r>
        <w:t xml:space="preserve">The restart of the</w:t>
      </w:r>
      <w:r>
        <w:t xml:space="preserve"> </w:t>
      </w:r>
      <w:r>
        <w:rPr>
          <w:b/>
          <w:bCs/>
        </w:rPr>
        <w:t xml:space="preserve">835 MW Crane Clean Energy Center</w:t>
      </w:r>
      <w:r>
        <w:t xml:space="preserve"> </w:t>
      </w:r>
      <w:r>
        <w:t xml:space="preserve">remains an important medium-term project. FERC granted the requested waiver related to transferring capacity interconnection rights, improving the path toward capacity treatment, while NRC licensing, environmental and emergency-preparedness work continues. The NRC held a public restart-related meeting on July 28. (</w:t>
      </w:r>
      <w:hyperlink r:id="rId22">
        <w:r>
          <w:rPr>
            <w:rStyle w:val="Hyperlink"/>
          </w:rPr>
          <w:t xml:space="preserve">elibrary.ferc.gov</w:t>
        </w:r>
      </w:hyperlink>
      <w:r>
        <w:t xml:space="preserve">)</w:t>
      </w:r>
    </w:p>
    <w:p>
      <w:pPr>
        <w:pStyle w:val="BodyText"/>
      </w:pPr>
      <w:r>
        <w:t xml:space="preserve">Key questions for management:</w:t>
      </w:r>
    </w:p>
    <w:p>
      <w:pPr>
        <w:pStyle w:val="Compact"/>
        <w:numPr>
          <w:ilvl w:val="0"/>
          <w:numId w:val="1008"/>
        </w:numPr>
      </w:pPr>
      <w:r>
        <w:t xml:space="preserve">Is initial generation still expected in 2027?</w:t>
      </w:r>
    </w:p>
    <w:p>
      <w:pPr>
        <w:pStyle w:val="Compact"/>
        <w:numPr>
          <w:ilvl w:val="0"/>
          <w:numId w:val="1008"/>
        </w:numPr>
      </w:pPr>
      <w:r>
        <w:t xml:space="preserve">When can Crane receive full capacity credit?</w:t>
      </w:r>
    </w:p>
    <w:p>
      <w:pPr>
        <w:pStyle w:val="Compact"/>
        <w:numPr>
          <w:ilvl w:val="0"/>
          <w:numId w:val="1008"/>
        </w:numPr>
      </w:pPr>
      <w:r>
        <w:t xml:space="preserve">Have the cost and construction schedules changed?</w:t>
      </w:r>
    </w:p>
    <w:p>
      <w:pPr>
        <w:pStyle w:val="Compact"/>
        <w:numPr>
          <w:ilvl w:val="0"/>
          <w:numId w:val="1008"/>
        </w:numPr>
      </w:pPr>
      <w:r>
        <w:t xml:space="preserve">Are any remaining licensing or transmission items on the critical path?</w:t>
      </w:r>
    </w:p>
    <w:p>
      <w:pPr>
        <w:pStyle w:val="Compact"/>
        <w:numPr>
          <w:ilvl w:val="0"/>
          <w:numId w:val="1008"/>
        </w:numPr>
      </w:pPr>
      <w:r>
        <w:t xml:space="preserve">Does Crane remain within the previously communicated return framework?</w:t>
      </w:r>
    </w:p>
    <w:p>
      <w:pPr>
        <w:pStyle w:val="FirstParagraph"/>
      </w:pPr>
      <w:r>
        <w:t xml:space="preserve">Any delay would matter because Crane is both a visible growth project and evidence that CEG can add firm nuclear generation faster than greenfield alternatives.</w:t>
      </w:r>
    </w:p>
    <w:p>
      <w:r>
        <w:pict>
          <v:rect style="width:0;height:1.5pt" o:hralign="center" o:hrstd="t" o:hr="t"/>
        </w:pict>
      </w:r>
    </w:p>
    <w:bookmarkEnd w:id="23"/>
    <w:bookmarkStart w:id="24" w:name="X42c8b93ea6270347fe9cc4829c2e3a384b6b2b5"/>
    <w:p>
      <w:pPr>
        <w:pStyle w:val="Heading3"/>
      </w:pPr>
      <w:r>
        <w:t xml:space="preserve">6. Capital allocation</w:t>
      </w:r>
    </w:p>
    <w:p>
      <w:pPr>
        <w:pStyle w:val="FirstParagraph"/>
      </w:pPr>
      <w:r>
        <w:t xml:space="preserve">CEG repurchased approximately</w:t>
      </w:r>
      <w:r>
        <w:t xml:space="preserve"> </w:t>
      </w:r>
      <w:r>
        <w:rPr>
          <w:b/>
          <w:bCs/>
        </w:rPr>
        <w:t xml:space="preserve">$335 million of stock at an average price near $285</w:t>
      </w:r>
      <w:r>
        <w:t xml:space="preserve"> </w:t>
      </w:r>
      <w:r>
        <w:t xml:space="preserve">shortly after the Calpine closing, leaving roughly $4.7 billion under its $5 billion authorization. The shares are now below that repurchase price. (</w:t>
      </w:r>
      <w:hyperlink r:id="rId12">
        <w:r>
          <w:rPr>
            <w:rStyle w:val="Hyperlink"/>
          </w:rPr>
          <w:t xml:space="preserve">investors.constellationenergy.com</w:t>
        </w:r>
      </w:hyperlink>
      <w:r>
        <w:t xml:space="preserve">)</w:t>
      </w:r>
    </w:p>
    <w:p>
      <w:pPr>
        <w:pStyle w:val="BodyText"/>
      </w:pPr>
      <w:r>
        <w:t xml:space="preserve">Investors should look for:</w:t>
      </w:r>
    </w:p>
    <w:p>
      <w:pPr>
        <w:pStyle w:val="Compact"/>
        <w:numPr>
          <w:ilvl w:val="0"/>
          <w:numId w:val="1009"/>
        </w:numPr>
      </w:pPr>
      <w:r>
        <w:t xml:space="preserve">Additional Q2 repurchases.</w:t>
      </w:r>
    </w:p>
    <w:p>
      <w:pPr>
        <w:pStyle w:val="Compact"/>
        <w:numPr>
          <w:ilvl w:val="0"/>
          <w:numId w:val="1009"/>
        </w:numPr>
      </w:pPr>
      <w:r>
        <w:t xml:space="preserve">Management’s appetite to buy shares following the June 30 expiration of the first Calpine shareholder lockup.</w:t>
      </w:r>
    </w:p>
    <w:p>
      <w:pPr>
        <w:pStyle w:val="Compact"/>
        <w:numPr>
          <w:ilvl w:val="0"/>
          <w:numId w:val="1009"/>
        </w:numPr>
      </w:pPr>
      <w:r>
        <w:t xml:space="preserve">Planned deployment of the LS Power proceeds.</w:t>
      </w:r>
    </w:p>
    <w:p>
      <w:pPr>
        <w:pStyle w:val="Compact"/>
        <w:numPr>
          <w:ilvl w:val="0"/>
          <w:numId w:val="1009"/>
        </w:numPr>
      </w:pPr>
      <w:r>
        <w:t xml:space="preserve">Progress toward investment-grade leverage targets.</w:t>
      </w:r>
    </w:p>
    <w:p>
      <w:pPr>
        <w:pStyle w:val="Compact"/>
        <w:numPr>
          <w:ilvl w:val="0"/>
          <w:numId w:val="1009"/>
        </w:numPr>
      </w:pPr>
      <w:r>
        <w:t xml:space="preserve">Whether attractive organic projects are crowding out repurchases—or whether cash flow supports both.</w:t>
      </w:r>
    </w:p>
    <w:p>
      <w:pPr>
        <w:pStyle w:val="FirstParagraph"/>
      </w:pPr>
      <w:r>
        <w:t xml:space="preserve">Given management’s prior description of the Q1 buyback as an intentional signal of value, a lack of additional purchases at lower prices would require explanation.</w:t>
      </w:r>
    </w:p>
    <w:p>
      <w:r>
        <w:pict>
          <v:rect style="width:0;height:1.5pt" o:hralign="center" o:hrstd="t" o:hr="t"/>
        </w:pict>
      </w:r>
    </w:p>
    <w:bookmarkEnd w:id="24"/>
    <w:bookmarkEnd w:id="25"/>
    <w:bookmarkStart w:id="26" w:name="earnings-call-scorecard"/>
    <w:p>
      <w:pPr>
        <w:pStyle w:val="Heading2"/>
      </w:pPr>
      <w:r>
        <w:t xml:space="preserve">Earnings-call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Positive</w:t>
            </w:r>
          </w:p>
        </w:tc>
        <w:tc>
          <w:tcPr/>
          <w:p>
            <w:pPr>
              <w:pStyle w:val="Compact"/>
            </w:pPr>
            <w:r>
              <w:t xml:space="preserve">Concerning</w:t>
            </w:r>
          </w:p>
        </w:tc>
      </w:tr>
      <w:tr>
        <w:tc>
          <w:tcPr/>
          <w:p>
            <w:pPr>
              <w:pStyle w:val="Compact"/>
            </w:pPr>
            <w:r>
              <w:t xml:space="preserve">Q2 adjusted EPS</w:t>
            </w:r>
          </w:p>
        </w:tc>
        <w:tc>
          <w:tcPr/>
          <w:p>
            <w:pPr>
              <w:pStyle w:val="Compact"/>
            </w:pPr>
            <w:r>
              <w:t xml:space="preserve">Above ~$2.40 with high-quality drivers</w:t>
            </w:r>
          </w:p>
        </w:tc>
        <w:tc>
          <w:tcPr/>
          <w:p>
            <w:pPr>
              <w:pStyle w:val="Compact"/>
            </w:pPr>
            <w:r>
              <w:t xml:space="preserve">Below ~$2.30 or dependent on unusual items</w:t>
            </w:r>
          </w:p>
        </w:tc>
      </w:tr>
      <w:tr>
        <w:tc>
          <w:tcPr/>
          <w:p>
            <w:pPr>
              <w:pStyle w:val="Compact"/>
            </w:pPr>
            <w:r>
              <w:t xml:space="preserve">FY2026 outlook</w:t>
            </w:r>
          </w:p>
        </w:tc>
        <w:tc>
          <w:tcPr/>
          <w:p>
            <w:pPr>
              <w:pStyle w:val="Compact"/>
            </w:pPr>
            <w:r>
              <w:t xml:space="preserve">Upper-half confidence or guidance raise</w:t>
            </w:r>
          </w:p>
        </w:tc>
        <w:tc>
          <w:tcPr/>
          <w:p>
            <w:pPr>
              <w:pStyle w:val="Compact"/>
            </w:pPr>
            <w:r>
              <w:t xml:space="preserve">Lower-half bias or reduced guidance</w:t>
            </w:r>
          </w:p>
        </w:tc>
      </w:tr>
      <w:tr>
        <w:tc>
          <w:tcPr/>
          <w:p>
            <w:pPr>
              <w:pStyle w:val="Compact"/>
            </w:pPr>
            <w:r>
              <w:t xml:space="preserve">Nuclear operations</w:t>
            </w:r>
          </w:p>
        </w:tc>
        <w:tc>
          <w:tcPr/>
          <w:p>
            <w:pPr>
              <w:pStyle w:val="Compact"/>
            </w:pPr>
            <w:r>
              <w:t xml:space="preserve">Mid-90% capacity factor, few unplanned outages</w:t>
            </w:r>
          </w:p>
        </w:tc>
        <w:tc>
          <w:tcPr/>
          <w:p>
            <w:pPr>
              <w:pStyle w:val="Compact"/>
            </w:pPr>
            <w:r>
              <w:t xml:space="preserve">Material unplanned outages</w:t>
            </w:r>
          </w:p>
        </w:tc>
      </w:tr>
      <w:tr>
        <w:tc>
          <w:tcPr/>
          <w:p>
            <w:pPr>
              <w:pStyle w:val="Compact"/>
            </w:pPr>
            <w:r>
              <w:t xml:space="preserve">Calpine</w:t>
            </w:r>
          </w:p>
        </w:tc>
        <w:tc>
          <w:tcPr/>
          <w:p>
            <w:pPr>
              <w:pStyle w:val="Compact"/>
            </w:pPr>
            <w:r>
              <w:t xml:space="preserve">On-plan accretion and integration</w:t>
            </w:r>
          </w:p>
        </w:tc>
        <w:tc>
          <w:tcPr/>
          <w:p>
            <w:pPr>
              <w:pStyle w:val="Compact"/>
            </w:pPr>
            <w:r>
              <w:t xml:space="preserve">Weak gas/retail margins or higher costs</w:t>
            </w:r>
          </w:p>
        </w:tc>
      </w:tr>
      <w:tr>
        <w:tc>
          <w:tcPr/>
          <w:p>
            <w:pPr>
              <w:pStyle w:val="Compact"/>
            </w:pPr>
            <w:r>
              <w:t xml:space="preserve">Divestitures</w:t>
            </w:r>
          </w:p>
        </w:tc>
        <w:tc>
          <w:tcPr/>
          <w:p>
            <w:pPr>
              <w:pStyle w:val="Compact"/>
            </w:pPr>
            <w:r>
              <w:t xml:space="preserve">Clear closing timetable and capital plan</w:t>
            </w:r>
          </w:p>
        </w:tc>
        <w:tc>
          <w:tcPr/>
          <w:p>
            <w:pPr>
              <w:pStyle w:val="Compact"/>
            </w:pPr>
            <w:r>
              <w:t xml:space="preserve">Regulatory delays or uncertain proceeds</w:t>
            </w:r>
          </w:p>
        </w:tc>
      </w:tr>
      <w:tr>
        <w:tc>
          <w:tcPr/>
          <w:p>
            <w:pPr>
              <w:pStyle w:val="Compact"/>
            </w:pPr>
            <w:r>
              <w:t xml:space="preserve">Data centers</w:t>
            </w:r>
          </w:p>
        </w:tc>
        <w:tc>
          <w:tcPr/>
          <w:p>
            <w:pPr>
              <w:pStyle w:val="Compact"/>
            </w:pPr>
            <w:r>
              <w:t xml:space="preserve">Contract milestones or near-term pipeline</w:t>
            </w:r>
          </w:p>
        </w:tc>
        <w:tc>
          <w:tcPr/>
          <w:p>
            <w:pPr>
              <w:pStyle w:val="Compact"/>
            </w:pPr>
            <w:r>
              <w:t xml:space="preserve">Continued regulatory waiting with no progress</w:t>
            </w:r>
          </w:p>
        </w:tc>
      </w:tr>
      <w:tr>
        <w:tc>
          <w:tcPr/>
          <w:p>
            <w:pPr>
              <w:pStyle w:val="Compact"/>
            </w:pPr>
            <w:r>
              <w:t xml:space="preserve">Crane</w:t>
            </w:r>
          </w:p>
        </w:tc>
        <w:tc>
          <w:tcPr/>
          <w:p>
            <w:pPr>
              <w:pStyle w:val="Compact"/>
            </w:pPr>
            <w:r>
              <w:t xml:space="preserve">2027 schedule reaffirmed</w:t>
            </w:r>
          </w:p>
        </w:tc>
        <w:tc>
          <w:tcPr/>
          <w:p>
            <w:pPr>
              <w:pStyle w:val="Compact"/>
            </w:pPr>
            <w:r>
              <w:t xml:space="preserve">Cost increase or schedule slippage</w:t>
            </w:r>
          </w:p>
        </w:tc>
      </w:tr>
      <w:tr>
        <w:tc>
          <w:tcPr/>
          <w:p>
            <w:pPr>
              <w:pStyle w:val="Compact"/>
            </w:pPr>
            <w:r>
              <w:t xml:space="preserve">Capital allocation</w:t>
            </w:r>
          </w:p>
        </w:tc>
        <w:tc>
          <w:tcPr/>
          <w:p>
            <w:pPr>
              <w:pStyle w:val="Compact"/>
            </w:pPr>
            <w:r>
              <w:t xml:space="preserve">Further repurchases and disciplined deleveraging</w:t>
            </w:r>
          </w:p>
        </w:tc>
        <w:tc>
          <w:tcPr/>
          <w:p>
            <w:pPr>
              <w:pStyle w:val="Compact"/>
            </w:pPr>
            <w:r>
              <w:t xml:space="preserve">Little deployment despite lower share price</w:t>
            </w:r>
          </w:p>
        </w:tc>
      </w:tr>
    </w:tbl>
    <w:bookmarkEnd w:id="26"/>
    <w:bookmarkStart w:id="27" w:name="bottom-line"/>
    <w:p>
      <w:pPr>
        <w:pStyle w:val="Heading2"/>
      </w:pPr>
      <w:r>
        <w:t xml:space="preserve">Bottom line</w:t>
      </w:r>
    </w:p>
    <w:p>
      <w:pPr>
        <w:pStyle w:val="FirstParagraph"/>
      </w:pPr>
      <w:r>
        <w:t xml:space="preserve">This report is less about whether CEG earns $2.30 or $2.40 in Q2 and more about whether management can demonstrate that:</w:t>
      </w:r>
    </w:p>
    <w:p>
      <w:pPr>
        <w:pStyle w:val="Compact"/>
        <w:numPr>
          <w:ilvl w:val="0"/>
          <w:numId w:val="1010"/>
        </w:numPr>
      </w:pPr>
      <m:oMath>
        <m:r>
          <m:t>11</m:t>
        </m:r>
        <m:r>
          <m:rPr>
            <m:sty m:val="p"/>
          </m:rPr>
          <m:t>–</m:t>
        </m:r>
      </m:oMath>
      <w:r>
        <w:rPr>
          <w:b/>
          <w:bCs/>
        </w:rPr>
        <w:t xml:space="preserve">12 of 2026 adjusted EPS remains secure</w:t>
      </w:r>
      <w:r>
        <w:t xml:space="preserve">, preferably with an upper-half bias.</w:t>
      </w:r>
    </w:p>
    <w:p>
      <w:pPr>
        <w:pStyle w:val="Compact"/>
        <w:numPr>
          <w:ilvl w:val="0"/>
          <w:numId w:val="1010"/>
        </w:numPr>
      </w:pPr>
      <w:r>
        <w:rPr>
          <w:b/>
          <w:bCs/>
        </w:rPr>
        <w:t xml:space="preserve">Calpine is contributing durable earnings</w:t>
      </w:r>
      <w:r>
        <w:t xml:space="preserve"> </w:t>
      </w:r>
      <w:r>
        <w:t xml:space="preserve">while integration and required asset sales stay on schedule.</w:t>
      </w:r>
    </w:p>
    <w:p>
      <w:pPr>
        <w:pStyle w:val="Compact"/>
        <w:numPr>
          <w:ilvl w:val="0"/>
          <w:numId w:val="1010"/>
        </w:numPr>
      </w:pPr>
      <w:r>
        <w:rPr>
          <w:b/>
          <w:bCs/>
        </w:rPr>
        <w:t xml:space="preserve">The nuclear and gas fleets are operating reliably.</w:t>
      </w:r>
    </w:p>
    <w:p>
      <w:pPr>
        <w:pStyle w:val="Compact"/>
        <w:numPr>
          <w:ilvl w:val="0"/>
          <w:numId w:val="1010"/>
        </w:numPr>
      </w:pPr>
      <w:r>
        <w:rPr>
          <w:b/>
          <w:bCs/>
        </w:rPr>
        <w:t xml:space="preserve">PJM regulatory progress is translating into actual customer contracting.</w:t>
      </w:r>
    </w:p>
    <w:p>
      <w:pPr>
        <w:pStyle w:val="Compact"/>
        <w:numPr>
          <w:ilvl w:val="0"/>
          <w:numId w:val="1010"/>
        </w:numPr>
      </w:pPr>
      <w:r>
        <w:rPr>
          <w:b/>
          <w:bCs/>
        </w:rPr>
        <w:t xml:space="preserve">Growing cash flow is being deployed accretively.</w:t>
      </w:r>
    </w:p>
    <w:p>
      <w:pPr>
        <w:pStyle w:val="FirstParagraph"/>
      </w:pPr>
      <w:r>
        <w:t xml:space="preserve">A modest beat plus unchanged guidance may not be enough by itself. The strongest outcome would combine solid operations, upper-half guidance confidence, clean Calpine execution and tangible progress toward another large-load or nuclear contract.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elibrary.ferc.gov/eLibrary/docketsheet?docket_number=er26-2028&amp;utm_source=openai" TargetMode="External" /><Relationship Type="http://schemas.openxmlformats.org/officeDocument/2006/relationships/hyperlink" Id="rId9" Target="https://investors.constellationenergy.com/events-and-presentations?utm_source=openai" TargetMode="External" /><Relationship Type="http://schemas.openxmlformats.org/officeDocument/2006/relationships/hyperlink" Id="rId18" Target="https://investors.constellationenergy.com/financial-information/sec-filings?field_nir_sec_cik_target_id=&amp;field_nir_sec_date_filed_value=&amp;items_per_page=10&amp;items_per_page_toggle=0&amp;mobile=1&amp;order=field_nir_sec_description&amp;page=34&amp;sort=desc&amp;utm_source=openai" TargetMode="External" /><Relationship Type="http://schemas.openxmlformats.org/officeDocument/2006/relationships/hyperlink" Id="rId14" Target="https://investors.constellationenergy.com/news-releases/news-release-details/constellation-announces-agreement-sell-pjm-generation-assets-ls?utm_source=openai" TargetMode="External" /><Relationship Type="http://schemas.openxmlformats.org/officeDocument/2006/relationships/hyperlink" Id="rId16" Target="https://investors.constellationenergy.com/news-releases/news-release-details/constellation-reports-first-quarter-2026-results?utm_source=openai" TargetMode="External" /><Relationship Type="http://schemas.openxmlformats.org/officeDocument/2006/relationships/hyperlink" Id="rId12" Target="https://investors.constellationenergy.com/static-files/9dc0168f-5328-42ce-9d66-2c3abe07bff0" TargetMode="External" /><Relationship Type="http://schemas.openxmlformats.org/officeDocument/2006/relationships/hyperlink" Id="rId10" Target="https://stage.zacks.com/stock/quote/CEG/detailed-earning-estimates?icid=SITE_SECTION-SUB_SECTION-quote_nav_tracking-zcom-left_subnav_quote_navbar-detailed_earning_estimates&amp;utm_source=openai" TargetMode="External" /><Relationship Type="http://schemas.openxmlformats.org/officeDocument/2006/relationships/hyperlink" Id="rId20" Target="https://www.pjm.com/-/media/DotCom/committees-groups/cifp-rbp/2026/20260630/20260630-item-02a---pjm-reliability-backstop-procurement-proposal---paper.pdf" TargetMode="External" /></Relationships>
</file>

<file path=word/_rels/footnotes.xml.rels><?xml version="1.0" encoding="UTF-8"?><Relationships xmlns="http://schemas.openxmlformats.org/package/2006/relationships"><Relationship Type="http://schemas.openxmlformats.org/officeDocument/2006/relationships/hyperlink" Id="rId22" Target="https://elibrary.ferc.gov/eLibrary/docketsheet?docket_number=er26-2028&amp;utm_source=openai" TargetMode="External" /><Relationship Type="http://schemas.openxmlformats.org/officeDocument/2006/relationships/hyperlink" Id="rId9" Target="https://investors.constellationenergy.com/events-and-presentations?utm_source=openai" TargetMode="External" /><Relationship Type="http://schemas.openxmlformats.org/officeDocument/2006/relationships/hyperlink" Id="rId18" Target="https://investors.constellationenergy.com/financial-information/sec-filings?field_nir_sec_cik_target_id=&amp;field_nir_sec_date_filed_value=&amp;items_per_page=10&amp;items_per_page_toggle=0&amp;mobile=1&amp;order=field_nir_sec_description&amp;page=34&amp;sort=desc&amp;utm_source=openai" TargetMode="External" /><Relationship Type="http://schemas.openxmlformats.org/officeDocument/2006/relationships/hyperlink" Id="rId14" Target="https://investors.constellationenergy.com/news-releases/news-release-details/constellation-announces-agreement-sell-pjm-generation-assets-ls?utm_source=openai" TargetMode="External" /><Relationship Type="http://schemas.openxmlformats.org/officeDocument/2006/relationships/hyperlink" Id="rId16" Target="https://investors.constellationenergy.com/news-releases/news-release-details/constellation-reports-first-quarter-2026-results?utm_source=openai" TargetMode="External" /><Relationship Type="http://schemas.openxmlformats.org/officeDocument/2006/relationships/hyperlink" Id="rId12" Target="https://investors.constellationenergy.com/static-files/9dc0168f-5328-42ce-9d66-2c3abe07bff0" TargetMode="External" /><Relationship Type="http://schemas.openxmlformats.org/officeDocument/2006/relationships/hyperlink" Id="rId10" Target="https://stage.zacks.com/stock/quote/CEG/detailed-earning-estimates?icid=SITE_SECTION-SUB_SECTION-quote_nav_tracking-zcom-left_subnav_quote_navbar-detailed_earning_estimates&amp;utm_source=openai" TargetMode="External" /><Relationship Type="http://schemas.openxmlformats.org/officeDocument/2006/relationships/hyperlink" Id="rId20" Target="https://www.pjm.com/-/media/DotCom/committees-groups/cifp-rbp/2026/20260630/20260630-item-02a---pjm-reliability-backstop-procurement-proposal---paper.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2026-08-06T00:38:38Z</dcterms:created>
  <dcterms:modified xsi:type="dcterms:W3CDTF">2026-08-06T00:38:38Z</dcterms:modified>
</cp:coreProperties>
</file>

<file path=docProps/custom.xml><?xml version="1.0" encoding="utf-8"?>
<Properties xmlns="http://schemas.openxmlformats.org/officeDocument/2006/custom-properties" xmlns:vt="http://schemas.openxmlformats.org/officeDocument/2006/docPropsVTypes"/>
</file>